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鄂尔多斯市政府投资</w:t>
      </w:r>
      <w:r>
        <w:rPr>
          <w:rFonts w:hint="eastAsia" w:ascii="方正小标宋简体" w:hAnsi="方正小标宋简体" w:eastAsia="方正小标宋简体" w:cs="方正小标宋简体"/>
          <w:b w:val="0"/>
          <w:bCs w:val="0"/>
          <w:sz w:val="44"/>
          <w:szCs w:val="44"/>
          <w:lang w:eastAsia="zh-CN"/>
        </w:rPr>
        <w:t>项目代建中心</w:t>
      </w:r>
      <w:r>
        <w:rPr>
          <w:rFonts w:hint="eastAsia" w:ascii="方正小标宋简体" w:hAnsi="方正小标宋简体" w:eastAsia="方正小标宋简体" w:cs="方正小标宋简体"/>
          <w:b w:val="0"/>
          <w:bCs w:val="0"/>
          <w:sz w:val="44"/>
          <w:szCs w:val="44"/>
        </w:rPr>
        <w:t>建设</w:t>
      </w:r>
    </w:p>
    <w:p>
      <w:pPr>
        <w:pStyle w:val="2"/>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项目全过程造价咨询管理</w:t>
      </w:r>
      <w:r>
        <w:rPr>
          <w:rFonts w:hint="eastAsia" w:ascii="方正小标宋简体" w:hAnsi="方正小标宋简体" w:eastAsia="方正小标宋简体" w:cs="方正小标宋简体"/>
          <w:b w:val="0"/>
          <w:bCs w:val="0"/>
          <w:sz w:val="44"/>
          <w:szCs w:val="44"/>
          <w:lang w:eastAsia="zh-CN"/>
        </w:rPr>
        <w:t>制度</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（试行）</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val="0"/>
          <w:bCs w:val="0"/>
          <w:sz w:val="32"/>
          <w:szCs w:val="32"/>
        </w:rPr>
        <w:t xml:space="preserve"> 为加强对鄂尔多斯市政府投资</w:t>
      </w:r>
      <w:r>
        <w:rPr>
          <w:rFonts w:hint="eastAsia" w:ascii="仿宋_GB2312" w:hAnsi="仿宋_GB2312" w:eastAsia="仿宋_GB2312" w:cs="仿宋_GB2312"/>
          <w:b w:val="0"/>
          <w:bCs w:val="0"/>
          <w:sz w:val="32"/>
          <w:szCs w:val="32"/>
          <w:lang w:eastAsia="zh-CN"/>
        </w:rPr>
        <w:t>项目代建中心</w:t>
      </w:r>
      <w:r>
        <w:rPr>
          <w:rFonts w:hint="eastAsia" w:ascii="仿宋_GB2312" w:hAnsi="仿宋_GB2312" w:eastAsia="仿宋_GB2312" w:cs="仿宋_GB2312"/>
          <w:b w:val="0"/>
          <w:bCs w:val="0"/>
          <w:sz w:val="32"/>
          <w:szCs w:val="32"/>
        </w:rPr>
        <w:t>（以下简称市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）委托造价咨询单位（以下简称咨询人）对建设项目进行全过程造价咨询服务的管理，提高建设资金使用效率，健全完善市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造价咨询管理制度，维护市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和咨询人的合法权益，根据《中华人民共和国审计法》、《内蒙古自治区建设工程造价管理办法》、《建设工程造价咨询规范》（GB/T51095-2015）、《内蒙古自治区发展和改革委员会关于开放部分经营性服务收费项目和标准（第一批）的通知》（内发改费字[2015]1031号）、《鄂尔多斯市政府投资工程管理办法》、《鄂尔多斯市政府投资项目审计办法》、《鄂尔多斯市政府投资</w:t>
      </w:r>
      <w:r>
        <w:rPr>
          <w:rFonts w:hint="eastAsia" w:ascii="仿宋_GB2312" w:hAnsi="仿宋_GB2312" w:eastAsia="仿宋_GB2312" w:cs="仿宋_GB2312"/>
          <w:b w:val="0"/>
          <w:bCs w:val="0"/>
          <w:sz w:val="32"/>
          <w:szCs w:val="32"/>
          <w:lang w:eastAsia="zh-CN"/>
        </w:rPr>
        <w:t>项目</w:t>
      </w:r>
      <w:r>
        <w:rPr>
          <w:rFonts w:hint="eastAsia" w:ascii="仿宋_GB2312" w:hAnsi="仿宋_GB2312" w:eastAsia="仿宋_GB2312" w:cs="仿宋_GB2312"/>
          <w:b w:val="0"/>
          <w:bCs w:val="0"/>
          <w:sz w:val="32"/>
          <w:szCs w:val="32"/>
        </w:rPr>
        <w:t>管理</w:t>
      </w:r>
      <w:r>
        <w:rPr>
          <w:rFonts w:hint="eastAsia" w:ascii="仿宋_GB2312" w:hAnsi="仿宋_GB2312" w:eastAsia="仿宋_GB2312" w:cs="仿宋_GB2312"/>
          <w:b w:val="0"/>
          <w:bCs w:val="0"/>
          <w:sz w:val="32"/>
          <w:szCs w:val="32"/>
          <w:lang w:eastAsia="zh-CN"/>
        </w:rPr>
        <w:t>办法</w:t>
      </w:r>
      <w:r>
        <w:rPr>
          <w:rFonts w:hint="eastAsia" w:ascii="仿宋_GB2312" w:hAnsi="仿宋_GB2312" w:eastAsia="仿宋_GB2312" w:cs="仿宋_GB2312"/>
          <w:b w:val="0"/>
          <w:bCs w:val="0"/>
          <w:sz w:val="32"/>
          <w:szCs w:val="32"/>
        </w:rPr>
        <w:t>》等有关规定，结合我</w:t>
      </w:r>
      <w:r>
        <w:rPr>
          <w:rFonts w:hint="eastAsia" w:ascii="仿宋_GB2312" w:hAnsi="仿宋_GB2312" w:eastAsia="仿宋_GB2312" w:cs="仿宋_GB2312"/>
          <w:b w:val="0"/>
          <w:bCs w:val="0"/>
          <w:sz w:val="32"/>
          <w:szCs w:val="32"/>
          <w:lang w:eastAsia="zh-CN"/>
        </w:rPr>
        <w:t>中心</w:t>
      </w:r>
      <w:r>
        <w:rPr>
          <w:rFonts w:hint="eastAsia" w:ascii="仿宋_GB2312" w:hAnsi="仿宋_GB2312" w:eastAsia="仿宋_GB2312" w:cs="仿宋_GB2312"/>
          <w:b w:val="0"/>
          <w:bCs w:val="0"/>
          <w:sz w:val="32"/>
          <w:szCs w:val="32"/>
        </w:rPr>
        <w:t>实际，制定本办法。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 xml:space="preserve"> 第二条</w:t>
      </w:r>
      <w:r>
        <w:rPr>
          <w:rFonts w:hint="eastAsia" w:ascii="仿宋_GB2312" w:hAnsi="仿宋_GB2312" w:eastAsia="仿宋_GB2312" w:cs="仿宋_GB2312"/>
          <w:b w:val="0"/>
          <w:bCs w:val="0"/>
          <w:sz w:val="32"/>
          <w:szCs w:val="32"/>
        </w:rPr>
        <w:t xml:space="preserve"> 建设工程项目全过程造价咨询涵盖建设工程项目的决策（立项）阶段，勘察设计阶段，招标发包（交易阶段），施工和竣工验收等五个阶段。各项目针对具体情况，选择一个或几个阶段造价咨询服务。</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工程造价咨询服务就是对上述各阶段工程造价的确定与控制提供专业的咨询服务。</w:t>
      </w: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咨询人的确定及要求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b w:val="0"/>
          <w:bCs w:val="0"/>
          <w:sz w:val="32"/>
          <w:szCs w:val="32"/>
        </w:rPr>
        <w:t xml:space="preserve">  咨询人由市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按照诚信、自愿和委托人付款的原则，通过</w:t>
      </w:r>
      <w:r>
        <w:rPr>
          <w:rFonts w:hint="eastAsia" w:ascii="仿宋_GB2312" w:hAnsi="仿宋_GB2312" w:eastAsia="仿宋_GB2312" w:cs="仿宋_GB2312"/>
          <w:b w:val="0"/>
          <w:bCs w:val="0"/>
          <w:sz w:val="32"/>
          <w:szCs w:val="32"/>
          <w:lang w:eastAsia="zh-CN"/>
        </w:rPr>
        <w:t>公开招投标或中心比选</w:t>
      </w:r>
      <w:r>
        <w:rPr>
          <w:rFonts w:hint="eastAsia" w:ascii="仿宋_GB2312" w:hAnsi="仿宋_GB2312" w:eastAsia="仿宋_GB2312" w:cs="仿宋_GB2312"/>
          <w:b w:val="0"/>
          <w:bCs w:val="0"/>
          <w:sz w:val="32"/>
          <w:szCs w:val="32"/>
        </w:rPr>
        <w:t>对潜在咨询人的报价、资质、业绩、人员配备、项目咨询大纲等比选确定与项目规模相适应的咨询人。</w:t>
      </w:r>
    </w:p>
    <w:p>
      <w:pPr>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咨询人与市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根据项目造价咨询的内容，范围、时限、深度要求、质量标准、成果文件形成、费用支付办法及奖惩办法等明确双方的义务，权利和责任订立合同。</w:t>
      </w:r>
    </w:p>
    <w:p>
      <w:pPr>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val="0"/>
          <w:bCs w:val="0"/>
          <w:sz w:val="32"/>
          <w:szCs w:val="32"/>
        </w:rPr>
        <w:t xml:space="preserve"> 咨询人根据项目实际情况，需在与市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签订咨询合同后7个工作日内根据项目特点、投标文件、工程造价咨询合同等编制详细的工程造价咨询的实施方案。实施方案的内容应包括项目概况、工程造价咨询服务范围、工作组织、工作进度、人员安排、实施方案、质量管理等。</w:t>
      </w:r>
    </w:p>
    <w:p>
      <w:pPr>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咨询人按市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要求配备专业造价咨询团队完成项目造价咨询任务，并明确项目负责人，</w:t>
      </w:r>
      <w:r>
        <w:rPr>
          <w:rFonts w:hint="eastAsia" w:ascii="仿宋_GB2312" w:hAnsi="仿宋_GB2312" w:eastAsia="仿宋_GB2312" w:cs="仿宋_GB2312"/>
          <w:b w:val="0"/>
          <w:bCs w:val="0"/>
          <w:kern w:val="0"/>
          <w:sz w:val="32"/>
          <w:szCs w:val="32"/>
        </w:rPr>
        <w:t>项目负责人应为本单位注册造价工程师，负责安排部署完成咨询任务，对其完成的所有造价咨询成果文件审核签章确认。</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sz w:val="32"/>
          <w:szCs w:val="32"/>
        </w:rPr>
        <w:t>咨询人需根据项目的进展情况派驻符合要求的专业造价人员驻现场完成项目实施阶段的造价控制，并对其出具的造价咨询文件签字确认，未经委托人同意不得随意更换派驻现场造价人员，且每月现场办公不少于22日历天，并要求编写详细的现场跟踪记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rPr>
        <w:t xml:space="preserve"> 咨询人需积极与市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及相关单位进行沟通，及时解决和处理造价争议问题，确保造价咨询服务工作顺利开展。</w:t>
      </w:r>
    </w:p>
    <w:p>
      <w:pPr>
        <w:pageBreakBefore w:val="0"/>
        <w:kinsoku/>
        <w:wordWrap/>
        <w:overflowPunct/>
        <w:topLinePunct w:val="0"/>
        <w:autoSpaceDE/>
        <w:autoSpaceDN/>
        <w:bidi w:val="0"/>
        <w:adjustRightInd/>
        <w:snapToGrid/>
        <w:spacing w:line="560" w:lineRule="exact"/>
        <w:ind w:firstLine="1440" w:firstLineChars="450"/>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第三章  项目决策阶段的造价咨询</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rPr>
        <w:t xml:space="preserve"> 根据拟建项目规模、使用功能审查项目投资估算，编制投资分析；审查勘察设计招标文件的合法性、合规性，编制招标控制价。</w:t>
      </w: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设计阶段造价咨询</w:t>
      </w:r>
    </w:p>
    <w:p>
      <w:pPr>
        <w:pageBreakBefore w:val="0"/>
        <w:kinsoku/>
        <w:wordWrap/>
        <w:overflowPunct/>
        <w:topLinePunct w:val="0"/>
        <w:autoSpaceDE/>
        <w:autoSpaceDN/>
        <w:bidi w:val="0"/>
        <w:adjustRightInd/>
        <w:snapToGrid/>
        <w:spacing w:line="560" w:lineRule="exact"/>
        <w:ind w:firstLine="800" w:firstLineChars="250"/>
        <w:jc w:val="left"/>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项目的初步设计及概算一般由设计单位完成，项目概算应包括项目从筹建到竣工验收等全部建设资金，是投资估算实施性的延伸和细化。由静态投资和动态投资构成，因此，咨询人要审查编制依据的合法性，是否与批复的可研报告或项目申请报告确定的内容、建设标准相符；是否按项目所在地的材料信息价编制；是否计算了编制期至竣工期生产资料（人工、材料、机械）价格的波动对投资的影响；审查概算内容的完整性，计算的合理性和准确性。协助相关单位完成初步设计批复。</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rPr>
        <w:t xml:space="preserve"> 审查设计深度是否符合规定；审查施工图设计是否贯彻限额设计的要求，咨询人根据设计单位提供的电子版施工图计算工程造价，若预算超出投资，设计单位需重新优化设计图纸，直至造价控制在给定投资范围内。</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招标（交易）阶段的造价咨询</w:t>
      </w:r>
    </w:p>
    <w:p>
      <w:pPr>
        <w:pStyle w:val="7"/>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p>
    <w:p>
      <w:pPr>
        <w:pStyle w:val="7"/>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第九条</w:t>
      </w:r>
      <w:r>
        <w:rPr>
          <w:rFonts w:hint="eastAsia" w:ascii="仿宋_GB2312" w:hAnsi="仿宋_GB2312" w:eastAsia="仿宋_GB2312" w:cs="仿宋_GB2312"/>
          <w:b w:val="0"/>
          <w:bCs w:val="0"/>
          <w:sz w:val="32"/>
          <w:szCs w:val="32"/>
        </w:rPr>
        <w:t xml:space="preserve"> 编制招标工程量清单及控制价，协助委托人完成招标控制价备案。审查施工、监理、材料设备和分包工程的招标程序、招标文件的合法性、合规性；审核合同（协议）的涉价条款，提出改进意见；开标时，评标过程中协助评标委员会进行清标工作。</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编制招标工程量清单及控制价，咨询人在收到委托人提供的正式招标蓝图建筑面积20000平方米以下的项目14日内完成招标工程量清单及控制价编制，建筑面积20000平方米以上的项目21日内完成招标工程量清单及控制价编制。工程量清单及控制价编制过程中如对图纸有疑问时，要及时与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相关人员沟通，并以书面形式提交，不应以自己的理解擅自进行计算，对设计中存在的不完善、缺漏项、设计不合理及与其他专业图纸不符、重复等问题，必须逐一书面提出，得到市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相关人员一对一的回复方可计量计价，否则不能出具成果文件。</w:t>
      </w:r>
    </w:p>
    <w:p>
      <w:pPr>
        <w:pStyle w:val="7"/>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（二）招标清单中要明确主要材料设备的推荐品牌及档次（同一材料要推荐三家以上同档次品牌）。</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（三）要编写详细的工程量清单及控制价编制说明及汇报材料，明确招标控制价材料价询价及计价依据。待汇报通过后方可</w:t>
      </w:r>
      <w:r>
        <w:rPr>
          <w:rFonts w:hint="eastAsia" w:ascii="仿宋_GB2312" w:hAnsi="仿宋_GB2312" w:eastAsia="仿宋_GB2312" w:cs="仿宋_GB2312"/>
          <w:b w:val="0"/>
          <w:bCs w:val="0"/>
          <w:sz w:val="32"/>
          <w:szCs w:val="32"/>
          <w:lang w:eastAsia="zh-CN"/>
        </w:rPr>
        <w:t>以</w:t>
      </w:r>
      <w:r>
        <w:rPr>
          <w:rFonts w:hint="eastAsia" w:ascii="仿宋_GB2312" w:hAnsi="仿宋_GB2312" w:eastAsia="仿宋_GB2312" w:cs="仿宋_GB2312"/>
          <w:b w:val="0"/>
          <w:bCs w:val="0"/>
          <w:sz w:val="32"/>
          <w:szCs w:val="32"/>
        </w:rPr>
        <w:t>咨询人红头文件出具正式的招标工程量清单及控制价并按第四条的要求签字盖章。若市审计局有特殊要求，清单及控制价需按审计局要求报审，经审核通过后方可出具正式的招标控制价及工程量清单。</w:t>
      </w:r>
    </w:p>
    <w:p>
      <w:pPr>
        <w:pStyle w:val="7"/>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第十条</w:t>
      </w:r>
      <w:r>
        <w:rPr>
          <w:rFonts w:hint="eastAsia" w:ascii="仿宋_GB2312" w:hAnsi="仿宋_GB2312" w:eastAsia="仿宋_GB2312" w:cs="仿宋_GB2312"/>
          <w:b w:val="0"/>
          <w:bCs w:val="0"/>
          <w:sz w:val="32"/>
          <w:szCs w:val="32"/>
        </w:rPr>
        <w:t xml:space="preserve"> 咨询人按相关文件规定要求对各投标人投标报价进行清标，编写清标报告。</w:t>
      </w:r>
    </w:p>
    <w:p>
      <w:pPr>
        <w:pStyle w:val="7"/>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咨询人对承接的清标工作，应附有保密义务。</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第六章 施工阶段的造价咨询</w:t>
      </w:r>
    </w:p>
    <w:p>
      <w:pPr>
        <w:pStyle w:val="7"/>
        <w:pageBreakBefore w:val="0"/>
        <w:kinsoku/>
        <w:wordWrap/>
        <w:overflowPunct/>
        <w:topLinePunct w:val="0"/>
        <w:autoSpaceDE/>
        <w:autoSpaceDN/>
        <w:bidi w:val="0"/>
        <w:adjustRightInd/>
        <w:snapToGrid/>
        <w:spacing w:before="0" w:beforeAutospacing="0" w:after="0" w:afterAutospacing="0" w:line="560" w:lineRule="exact"/>
        <w:ind w:firstLine="800" w:firstLineChars="250"/>
        <w:jc w:val="both"/>
        <w:textAlignment w:val="auto"/>
        <w:rPr>
          <w:rFonts w:hint="eastAsia" w:ascii="黑体" w:hAnsi="黑体" w:eastAsia="黑体" w:cs="黑体"/>
          <w:b w:val="0"/>
          <w:bCs w:val="0"/>
          <w:kern w:val="2"/>
          <w:sz w:val="32"/>
          <w:szCs w:val="32"/>
          <w:lang w:val="en-US" w:eastAsia="zh-CN" w:bidi="ar-SA"/>
        </w:rPr>
      </w:pPr>
    </w:p>
    <w:p>
      <w:pPr>
        <w:pStyle w:val="7"/>
        <w:pageBreakBefore w:val="0"/>
        <w:kinsoku/>
        <w:wordWrap/>
        <w:overflowPunct/>
        <w:topLinePunct w:val="0"/>
        <w:autoSpaceDE/>
        <w:autoSpaceDN/>
        <w:bidi w:val="0"/>
        <w:adjustRightInd/>
        <w:snapToGrid/>
        <w:spacing w:before="0" w:beforeAutospacing="0" w:after="0" w:afterAutospacing="0" w:line="560" w:lineRule="exact"/>
        <w:ind w:firstLine="800" w:firstLineChars="25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第十一条</w:t>
      </w:r>
      <w:r>
        <w:rPr>
          <w:rFonts w:hint="eastAsia" w:ascii="仿宋_GB2312" w:hAnsi="仿宋_GB2312" w:eastAsia="仿宋_GB2312" w:cs="仿宋_GB2312"/>
          <w:b w:val="0"/>
          <w:bCs w:val="0"/>
          <w:sz w:val="32"/>
          <w:szCs w:val="32"/>
        </w:rPr>
        <w:t xml:space="preserve"> 审核订立合同的主体是否合格，合同内容是否与招标文件的要求相符合，合同条款是否全面、合理，有无遗漏关键性内容；进行工程变更、工程索赔和工程签证的审核；合同终止结算、分阶段工程结算、专业工程分包结算的审核；审核工程进度产值。</w:t>
      </w:r>
    </w:p>
    <w:p>
      <w:pPr>
        <w:pStyle w:val="7"/>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对于单价合同招标的项目，咨询人在施工单位签订施工合同后3个月内与其完成施工图纸内工程量核对，结算时图纸内工程量不再调整；固定价合同结算时只计取变更费用，施工图纸内的工程量一律不做调整。</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（二）收到工程变更申请3个工作日内完成变更造价审核，出具变更预算文件并签字盖章，将变更签证资料整理存档；</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）工程变更及洽商签转完成后14日内咨询机构完成工程变更及洽商造价结算审核，建立变更台账，审核结果在工程竣工结算阶段直接做加法统计，不进行重复审核。</w:t>
      </w:r>
    </w:p>
    <w:p>
      <w:pPr>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第十二条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sz w:val="32"/>
          <w:szCs w:val="32"/>
        </w:rPr>
        <w:t>在施工方上报月产值的前三日，咨询人应会同监理人，对当期（月）完成的工程量进行盘点计量（验工），并按施工合同的约定和已标价的工程量清单计价，报</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预决算中心复核确认。</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第十三条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sz w:val="32"/>
          <w:szCs w:val="32"/>
        </w:rPr>
        <w:t>对于隐蔽工程变更，必须要留存影像资料及相关记录。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第十四条</w:t>
      </w:r>
      <w:r>
        <w:rPr>
          <w:rFonts w:hint="eastAsia" w:ascii="仿宋_GB2312" w:hAnsi="仿宋_GB2312" w:eastAsia="仿宋_GB2312" w:cs="仿宋_GB2312"/>
          <w:b w:val="0"/>
          <w:bCs w:val="0"/>
          <w:kern w:val="0"/>
          <w:sz w:val="32"/>
          <w:szCs w:val="32"/>
        </w:rPr>
        <w:t xml:space="preserve"> </w:t>
      </w:r>
      <w:r>
        <w:rPr>
          <w:rFonts w:hint="eastAsia" w:ascii="仿宋_GB2312" w:hAnsi="仿宋_GB2312" w:eastAsia="仿宋_GB2312" w:cs="仿宋_GB2312"/>
          <w:b w:val="0"/>
          <w:bCs w:val="0"/>
          <w:sz w:val="32"/>
          <w:szCs w:val="32"/>
        </w:rPr>
        <w:t>按照工程进度在需定价材料确认封样后7个工作日内配合市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完成材料市场价查询工作，并应出具相应的价格咨询报告或审核意见，要求附有详细的询价记录及厂家的联系方式或具有供货方签章的报价单。询价过程资料应及时整理存档。</w:t>
      </w: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lang w:val="en-US" w:eastAsia="zh-CN" w:bidi="ar-SA"/>
        </w:rPr>
      </w:pP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第七章工程竣工结算阶段造价咨询</w:t>
      </w:r>
    </w:p>
    <w:p>
      <w:pPr>
        <w:pageBreakBefore w:val="0"/>
        <w:kinsoku/>
        <w:wordWrap/>
        <w:overflowPunct/>
        <w:topLinePunct w:val="0"/>
        <w:autoSpaceDE/>
        <w:autoSpaceDN/>
        <w:bidi w:val="0"/>
        <w:adjustRightInd/>
        <w:snapToGrid/>
        <w:spacing w:line="560" w:lineRule="exact"/>
        <w:ind w:firstLine="800" w:firstLineChars="250"/>
        <w:textAlignment w:val="auto"/>
        <w:rPr>
          <w:rFonts w:hint="eastAsia" w:ascii="黑体" w:hAnsi="黑体" w:eastAsia="黑体" w:cs="黑体"/>
          <w:b w:val="0"/>
          <w:bCs w:val="0"/>
          <w:kern w:val="2"/>
          <w:sz w:val="32"/>
          <w:szCs w:val="32"/>
          <w:lang w:val="en-US" w:eastAsia="zh-CN" w:bidi="ar-SA"/>
        </w:rPr>
      </w:pPr>
    </w:p>
    <w:p>
      <w:pPr>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kern w:val="2"/>
          <w:sz w:val="32"/>
          <w:szCs w:val="32"/>
          <w:lang w:val="en-US" w:eastAsia="zh-CN" w:bidi="ar-SA"/>
        </w:rPr>
        <w:t xml:space="preserve">第十五条 </w:t>
      </w:r>
      <w:r>
        <w:rPr>
          <w:rFonts w:hint="eastAsia" w:ascii="仿宋_GB2312" w:hAnsi="仿宋_GB2312" w:eastAsia="仿宋_GB2312" w:cs="仿宋_GB2312"/>
          <w:b w:val="0"/>
          <w:bCs w:val="0"/>
          <w:sz w:val="32"/>
          <w:szCs w:val="32"/>
        </w:rPr>
        <w:t>咨询人根据合同约定在工程竣工验收合格后对工程进行竣工结算审核。</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（一）咨询人在收到竣工结算资料后3个工作日内日完成上报资料审查整理工作，对完整的送审资料进行交验、核实、签收；对资料等缺陷向市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提出书面说明及整改要求。</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咨询人在结算审核阶段应对项目现场踏勘核实，召开审核会议、澄清问题，提出充分依据性资料及必要弥补措施，形成会议纪要，进行计价与计量确认工作，完成初步审核报告。</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2亿元以内的项目收到施工单位上报结算书30工作日内完成结算审核，2亿元以上的项目收到施工单位上报结算书60工作日内完成结算审核；如单独委托项目竣工结算审计，2亿元以内的项目收到施工单位上报结算书60工作日内完成结算审核，2亿元以上的项目收到施工单位上报结算书90工作日内完成结算审核。</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（三）咨询人完成项目结算审核后就竣工结算审核意见与委托人及施工单位进行沟通，召开协调会议，处理分歧事项，形成竣工结算审核成果文件，签署竣工结算审定签署表，提交结算审核报告。</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（四）咨询人完成竣工结算审核后将初步审查意见整理编制汇报材料，并向市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就初审情况进行汇报，经汇报会议通过后其结论应由市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、施工单位、咨询人共同签认。无实质性理由市</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、施工单位及咨询人因分歧不能共同签认竣工结算审核签署表的，咨询人在协调无果的情况下可单独提交竣工结算审核书，并承担相应责任。</w:t>
      </w:r>
    </w:p>
    <w:p>
      <w:pPr>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sz w:val="32"/>
          <w:szCs w:val="32"/>
        </w:rPr>
      </w:pPr>
    </w:p>
    <w:p>
      <w:pPr>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第八章  质量要求及奖惩办法</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xml:space="preserve"> 咨询人根据项目特点建立质量管理体系，并通过流程控制、企业标准等措施保证造价咨询质量。各阶段咨询成果文件质量应符合国家或行业工程计价的有关规定、标准、规范的要求。成果文件由编制人进行编制，并由审核人、审定人进行二级审核。</w:t>
      </w:r>
      <w:r>
        <w:rPr>
          <w:rFonts w:hint="eastAsia" w:ascii="仿宋_GB2312" w:hAnsi="仿宋_GB2312" w:eastAsia="仿宋_GB2312" w:cs="仿宋_GB2312"/>
          <w:b w:val="0"/>
          <w:bCs w:val="0"/>
          <w:sz w:val="32"/>
          <w:szCs w:val="32"/>
          <w:lang w:eastAsia="zh-CN"/>
        </w:rPr>
        <w:t>市代建中心</w:t>
      </w:r>
      <w:r>
        <w:rPr>
          <w:rFonts w:hint="eastAsia" w:ascii="仿宋_GB2312" w:hAnsi="仿宋_GB2312" w:eastAsia="仿宋_GB2312" w:cs="仿宋_GB2312"/>
          <w:b w:val="0"/>
          <w:bCs w:val="0"/>
          <w:sz w:val="32"/>
          <w:szCs w:val="32"/>
        </w:rPr>
        <w:t>可委托第三方审查咨询人的提交成果文件，允许误差率为1%之内，如误差率在1%-3%（含3%）之间，扣除全部咨询费的10%；在3%-5%（含5%）之间，扣全部咨询费的20%；在5%-10%（含10%）之间，扣全部咨询费的30%；如误差率在10%以上，扣全部咨询费的50%并提出警告，一年内不能做</w:t>
      </w:r>
      <w:r>
        <w:rPr>
          <w:rFonts w:hint="eastAsia" w:ascii="仿宋_GB2312" w:hAnsi="仿宋_GB2312" w:eastAsia="仿宋_GB2312" w:cs="仿宋_GB2312"/>
          <w:b w:val="0"/>
          <w:bCs w:val="0"/>
          <w:sz w:val="32"/>
          <w:szCs w:val="32"/>
          <w:lang w:eastAsia="zh-CN"/>
        </w:rPr>
        <w:t>市代建中心</w:t>
      </w:r>
      <w:r>
        <w:rPr>
          <w:rFonts w:hint="eastAsia" w:ascii="仿宋_GB2312" w:hAnsi="仿宋_GB2312" w:eastAsia="仿宋_GB2312" w:cs="仿宋_GB2312"/>
          <w:b w:val="0"/>
          <w:bCs w:val="0"/>
          <w:sz w:val="32"/>
          <w:szCs w:val="32"/>
        </w:rPr>
        <w:t>的相关业务，并应赔偿委托人因此遭受的全部损失。（在审计过程中由会议决定或咨询造价主管部门确定予以计取，但在结算审计中扣除部分不计入误差范围。）</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rPr>
        <w:t xml:space="preserve"> 咨询人提交的成果文件经符合在允许偏差范围内的，</w:t>
      </w:r>
      <w:r>
        <w:rPr>
          <w:rFonts w:hint="eastAsia" w:ascii="仿宋_GB2312" w:hAnsi="仿宋_GB2312" w:eastAsia="仿宋_GB2312" w:cs="仿宋_GB2312"/>
          <w:b w:val="0"/>
          <w:bCs w:val="0"/>
          <w:sz w:val="32"/>
          <w:szCs w:val="32"/>
          <w:lang w:eastAsia="zh-CN"/>
        </w:rPr>
        <w:t>市代建中心</w:t>
      </w:r>
      <w:r>
        <w:rPr>
          <w:rFonts w:hint="eastAsia" w:ascii="仿宋_GB2312" w:hAnsi="仿宋_GB2312" w:eastAsia="仿宋_GB2312" w:cs="仿宋_GB2312"/>
          <w:b w:val="0"/>
          <w:bCs w:val="0"/>
          <w:sz w:val="32"/>
          <w:szCs w:val="32"/>
        </w:rPr>
        <w:t>承诺严格按照合同付款方式优先支付工程造价咨询费。</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第十八条</w:t>
      </w:r>
      <w:r>
        <w:rPr>
          <w:rFonts w:hint="eastAsia" w:ascii="仿宋_GB2312" w:hAnsi="仿宋_GB2312" w:eastAsia="仿宋_GB2312" w:cs="仿宋_GB2312"/>
          <w:b w:val="0"/>
          <w:bCs w:val="0"/>
          <w:sz w:val="32"/>
          <w:szCs w:val="32"/>
        </w:rPr>
        <w:t xml:space="preserve"> 咨询人在项目咨询服务中给</w:t>
      </w:r>
      <w:r>
        <w:rPr>
          <w:rFonts w:hint="eastAsia" w:ascii="仿宋_GB2312" w:hAnsi="仿宋_GB2312" w:eastAsia="仿宋_GB2312" w:cs="仿宋_GB2312"/>
          <w:b w:val="0"/>
          <w:bCs w:val="0"/>
          <w:sz w:val="32"/>
          <w:szCs w:val="32"/>
          <w:lang w:eastAsia="zh-CN"/>
        </w:rPr>
        <w:t>市代建中心</w:t>
      </w:r>
      <w:r>
        <w:rPr>
          <w:rFonts w:hint="eastAsia" w:ascii="仿宋_GB2312" w:hAnsi="仿宋_GB2312" w:eastAsia="仿宋_GB2312" w:cs="仿宋_GB2312"/>
          <w:b w:val="0"/>
          <w:bCs w:val="0"/>
          <w:sz w:val="32"/>
          <w:szCs w:val="32"/>
        </w:rPr>
        <w:t>挽回重大经济损失的，经</w:t>
      </w:r>
      <w:r>
        <w:rPr>
          <w:rFonts w:hint="eastAsia" w:ascii="仿宋_GB2312" w:hAnsi="仿宋_GB2312" w:eastAsia="仿宋_GB2312" w:cs="仿宋_GB2312"/>
          <w:b w:val="0"/>
          <w:bCs w:val="0"/>
          <w:sz w:val="32"/>
          <w:szCs w:val="32"/>
          <w:lang w:eastAsia="zh-CN"/>
        </w:rPr>
        <w:t>代建中心</w:t>
      </w:r>
      <w:r>
        <w:rPr>
          <w:rFonts w:hint="eastAsia" w:ascii="仿宋_GB2312" w:hAnsi="仿宋_GB2312" w:eastAsia="仿宋_GB2312" w:cs="仿宋_GB2312"/>
          <w:b w:val="0"/>
          <w:bCs w:val="0"/>
          <w:sz w:val="32"/>
          <w:szCs w:val="32"/>
        </w:rPr>
        <w:t>会议认定后予以全部咨询费10-20%的奖励。</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val="0"/>
          <w:bCs w:val="0"/>
          <w:sz w:val="32"/>
          <w:szCs w:val="32"/>
        </w:rPr>
        <w:t xml:space="preserve"> 咨询人在各阶段工程造价咨询服务完成后，项目负责人应组织有关人员对</w:t>
      </w:r>
      <w:r>
        <w:rPr>
          <w:rFonts w:hint="eastAsia" w:ascii="仿宋_GB2312" w:hAnsi="仿宋_GB2312" w:eastAsia="仿宋_GB2312" w:cs="仿宋_GB2312"/>
          <w:b w:val="0"/>
          <w:bCs w:val="0"/>
          <w:sz w:val="32"/>
          <w:szCs w:val="32"/>
          <w:lang w:eastAsia="zh-CN"/>
        </w:rPr>
        <w:t>市代建中心</w:t>
      </w:r>
      <w:r>
        <w:rPr>
          <w:rFonts w:hint="eastAsia" w:ascii="仿宋_GB2312" w:hAnsi="仿宋_GB2312" w:eastAsia="仿宋_GB2312" w:cs="仿宋_GB2312"/>
          <w:b w:val="0"/>
          <w:bCs w:val="0"/>
          <w:sz w:val="32"/>
          <w:szCs w:val="32"/>
        </w:rPr>
        <w:t>进行回访，听取对服务质量的评价意见，及时总结咨询服务的优缺点和经验教训，将存在的问题纳入质量改进计划，提出相应的改进措施。</w:t>
      </w:r>
    </w:p>
    <w:p>
      <w:pPr>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第九章  档案管理</w:t>
      </w:r>
    </w:p>
    <w:p>
      <w:pPr>
        <w:pageBreakBefore w:val="0"/>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rPr>
        <w:t xml:space="preserve"> 咨询人应依照《中华人民共和国档案法》的有关规定，建立档案收集制度、统计制度、保密制度、借阅制度、库管制度及档案管理人员守则等。</w:t>
      </w:r>
    </w:p>
    <w:p>
      <w:pPr>
        <w:pageBreakBefore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rPr>
        <w:t xml:space="preserve"> 咨询人应加强造价咨询档案现代化管理，运用计算机对档案进行编目、检索、借阅管理和综合利用，为造价咨询服务提供准确，方便快捷的信息与服务。</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rPr>
        <w:t xml:space="preserve"> 工程竣工结算审计完成后咨询人将资料整理后移交</w:t>
      </w:r>
      <w:r>
        <w:rPr>
          <w:rFonts w:hint="eastAsia" w:ascii="仿宋_GB2312" w:hAnsi="仿宋_GB2312" w:eastAsia="仿宋_GB2312" w:cs="仿宋_GB2312"/>
          <w:b w:val="0"/>
          <w:bCs w:val="0"/>
          <w:sz w:val="32"/>
          <w:szCs w:val="32"/>
          <w:lang w:eastAsia="zh-CN"/>
        </w:rPr>
        <w:t>市代建中心</w:t>
      </w:r>
      <w:r>
        <w:rPr>
          <w:rFonts w:hint="eastAsia" w:ascii="仿宋_GB2312" w:hAnsi="仿宋_GB2312" w:eastAsia="仿宋_GB2312" w:cs="仿宋_GB2312"/>
          <w:b w:val="0"/>
          <w:bCs w:val="0"/>
          <w:sz w:val="32"/>
          <w:szCs w:val="32"/>
        </w:rPr>
        <w:t>保存。</w:t>
      </w: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第十章  廉政建设</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kern w:val="2"/>
          <w:sz w:val="32"/>
          <w:szCs w:val="32"/>
        </w:rPr>
      </w:pPr>
    </w:p>
    <w:p>
      <w:pPr>
        <w:pStyle w:val="7"/>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黑体" w:hAnsi="黑体" w:eastAsia="黑体" w:cs="黑体"/>
          <w:b w:val="0"/>
          <w:bCs w:val="0"/>
          <w:kern w:val="2"/>
          <w:sz w:val="32"/>
          <w:szCs w:val="32"/>
        </w:rPr>
        <w:t>第二十三条</w:t>
      </w:r>
      <w:r>
        <w:rPr>
          <w:rFonts w:hint="eastAsia" w:ascii="仿宋_GB2312" w:hAnsi="仿宋_GB2312" w:eastAsia="仿宋_GB2312" w:cs="仿宋_GB2312"/>
          <w:b w:val="0"/>
          <w:bCs w:val="0"/>
          <w:kern w:val="2"/>
          <w:sz w:val="32"/>
          <w:szCs w:val="32"/>
        </w:rPr>
        <w:t xml:space="preserve"> 咨询人不得以任何理由索要或接受施工单位的财务和其他利益（财务指现金、有价证券和实物，其他利益指提供国内外各种名义的旅游、考察等给付财物以外的其他手段）；不得参加施工单位安排的宴请以及支付费用的休闲、健身或娱乐活动；不得利用工作的便利吃、拿、卡、要、报，向管理对象借钱借物，推销物品，从中渔利；不得在施工单位报销任何应由个人支付的费用；不得以任何形式向施工单位索要和收受回扣或变相收受各种贿赂；不得在施工单位单位兼职服务。</w:t>
      </w:r>
    </w:p>
    <w:p>
      <w:pPr>
        <w:pStyle w:val="7"/>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kern w:val="2"/>
          <w:sz w:val="32"/>
          <w:szCs w:val="32"/>
        </w:rPr>
      </w:pPr>
      <w:r>
        <w:rPr>
          <w:rFonts w:hint="eastAsia" w:ascii="黑体" w:hAnsi="黑体" w:eastAsia="黑体" w:cs="黑体"/>
          <w:b w:val="0"/>
          <w:bCs w:val="0"/>
          <w:kern w:val="2"/>
          <w:sz w:val="32"/>
          <w:szCs w:val="32"/>
        </w:rPr>
        <w:t xml:space="preserve">第二十四条 </w:t>
      </w:r>
      <w:r>
        <w:rPr>
          <w:rFonts w:hint="eastAsia" w:ascii="仿宋_GB2312" w:hAnsi="仿宋_GB2312" w:eastAsia="仿宋_GB2312" w:cs="仿宋_GB2312"/>
          <w:b w:val="0"/>
          <w:bCs w:val="0"/>
          <w:kern w:val="2"/>
          <w:sz w:val="32"/>
          <w:szCs w:val="32"/>
        </w:rPr>
        <w:t>咨询人严禁泄露相关资料。</w:t>
      </w:r>
    </w:p>
    <w:p>
      <w:pPr>
        <w:pageBreakBefore w:val="0"/>
        <w:kinsoku/>
        <w:wordWrap/>
        <w:overflowPunct/>
        <w:topLinePunct w:val="0"/>
        <w:autoSpaceDE/>
        <w:autoSpaceDN/>
        <w:bidi w:val="0"/>
        <w:adjustRightInd/>
        <w:snapToGrid/>
        <w:spacing w:line="560" w:lineRule="exact"/>
        <w:ind w:firstLine="2080" w:firstLineChars="650"/>
        <w:textAlignment w:val="auto"/>
        <w:rPr>
          <w:rFonts w:hint="eastAsia" w:ascii="仿宋_GB2312" w:hAnsi="仿宋_GB2312" w:eastAsia="仿宋_GB2312" w:cs="仿宋_GB2312"/>
          <w:b w:val="0"/>
          <w:bCs w:val="0"/>
          <w:sz w:val="32"/>
          <w:szCs w:val="32"/>
        </w:rPr>
      </w:pPr>
    </w:p>
    <w:p>
      <w:pPr>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第十一章  附则</w:t>
      </w: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color w:val="FF0000"/>
          <w:sz w:val="32"/>
          <w:szCs w:val="32"/>
        </w:rPr>
        <w:t xml:space="preserve">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FF0000"/>
          <w:sz w:val="32"/>
          <w:szCs w:val="32"/>
        </w:rPr>
      </w:pPr>
      <w:bookmarkStart w:id="0" w:name="_GoBack"/>
      <w:bookmarkEnd w:id="0"/>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rPr>
        <w:t xml:space="preserve"> 本办法仅适用于</w:t>
      </w:r>
      <w:r>
        <w:rPr>
          <w:rFonts w:hint="eastAsia" w:ascii="仿宋_GB2312" w:hAnsi="仿宋_GB2312" w:eastAsia="仿宋_GB2312" w:cs="仿宋_GB2312"/>
          <w:b w:val="0"/>
          <w:bCs w:val="0"/>
          <w:sz w:val="32"/>
          <w:szCs w:val="32"/>
          <w:lang w:eastAsia="zh-CN"/>
        </w:rPr>
        <w:t>市代建中心</w:t>
      </w:r>
      <w:r>
        <w:rPr>
          <w:rFonts w:hint="eastAsia" w:ascii="仿宋_GB2312" w:hAnsi="仿宋_GB2312" w:eastAsia="仿宋_GB2312" w:cs="仿宋_GB2312"/>
          <w:b w:val="0"/>
          <w:bCs w:val="0"/>
          <w:sz w:val="32"/>
          <w:szCs w:val="32"/>
        </w:rPr>
        <w:t>建设项目造价咨询。</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rPr>
        <w:t xml:space="preserve"> 本办法由鄂尔多斯市政府投资</w:t>
      </w:r>
      <w:r>
        <w:rPr>
          <w:rFonts w:hint="eastAsia" w:ascii="仿宋_GB2312" w:hAnsi="仿宋_GB2312" w:eastAsia="仿宋_GB2312" w:cs="仿宋_GB2312"/>
          <w:b w:val="0"/>
          <w:bCs w:val="0"/>
          <w:sz w:val="32"/>
          <w:szCs w:val="32"/>
          <w:lang w:eastAsia="zh-CN"/>
        </w:rPr>
        <w:t>项目代建中心</w:t>
      </w:r>
      <w:r>
        <w:rPr>
          <w:rFonts w:hint="eastAsia" w:ascii="仿宋_GB2312" w:hAnsi="仿宋_GB2312" w:eastAsia="仿宋_GB2312" w:cs="仿宋_GB2312"/>
          <w:b w:val="0"/>
          <w:bCs w:val="0"/>
          <w:sz w:val="32"/>
          <w:szCs w:val="32"/>
        </w:rPr>
        <w:t>负责解释。</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rPr>
        <w:t xml:space="preserve"> 本办法自发布之日起执行。此前与本办法不符的，一律以本办法为准。</w:t>
      </w:r>
    </w:p>
    <w:p>
      <w:pPr>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val="0"/>
          <w:color w:val="FF0000"/>
          <w:sz w:val="32"/>
          <w:szCs w:val="32"/>
        </w:rPr>
      </w:pPr>
    </w:p>
    <w:p>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附：鄂尔多斯市政府投资</w:t>
      </w:r>
      <w:r>
        <w:rPr>
          <w:rFonts w:hint="eastAsia" w:ascii="仿宋_GB2312" w:hAnsi="仿宋_GB2312" w:eastAsia="仿宋_GB2312" w:cs="仿宋_GB2312"/>
          <w:b w:val="0"/>
          <w:bCs w:val="0"/>
          <w:sz w:val="32"/>
          <w:szCs w:val="32"/>
          <w:lang w:eastAsia="zh-CN"/>
        </w:rPr>
        <w:t>项目代建中心</w:t>
      </w:r>
      <w:r>
        <w:rPr>
          <w:rFonts w:hint="eastAsia" w:ascii="仿宋_GB2312" w:hAnsi="仿宋_GB2312" w:eastAsia="仿宋_GB2312" w:cs="仿宋_GB2312"/>
          <w:b w:val="0"/>
          <w:bCs w:val="0"/>
          <w:sz w:val="32"/>
          <w:szCs w:val="32"/>
        </w:rPr>
        <w:t>建设工程造价咨询服务费项目和收费标准</w:t>
      </w:r>
    </w:p>
    <w:p>
      <w:pPr>
        <w:spacing w:line="360" w:lineRule="auto"/>
        <w:ind w:firstLine="4640" w:firstLineChars="1450"/>
        <w:rPr>
          <w:rFonts w:ascii="仿宋" w:hAnsi="仿宋" w:eastAsia="仿宋"/>
          <w:b w:val="0"/>
          <w:bCs w:val="0"/>
          <w:sz w:val="32"/>
          <w:szCs w:val="32"/>
        </w:rPr>
      </w:pPr>
    </w:p>
    <w:p>
      <w:pPr>
        <w:spacing w:line="360" w:lineRule="auto"/>
        <w:ind w:firstLine="4640" w:firstLineChars="1450"/>
        <w:rPr>
          <w:rFonts w:ascii="仿宋" w:hAnsi="仿宋" w:eastAsia="仿宋"/>
          <w:b w:val="0"/>
          <w:bCs w:val="0"/>
          <w:sz w:val="32"/>
          <w:szCs w:val="32"/>
        </w:rPr>
      </w:pPr>
    </w:p>
    <w:p>
      <w:pPr>
        <w:spacing w:line="360" w:lineRule="auto"/>
        <w:ind w:firstLine="4640" w:firstLineChars="1450"/>
        <w:rPr>
          <w:rFonts w:ascii="仿宋" w:hAnsi="仿宋" w:eastAsia="仿宋"/>
          <w:b w:val="0"/>
          <w:bCs w:val="0"/>
          <w:sz w:val="32"/>
          <w:szCs w:val="32"/>
        </w:rPr>
      </w:pPr>
    </w:p>
    <w:p>
      <w:pPr>
        <w:rPr>
          <w:rFonts w:hint="eastAsia" w:ascii="黑体" w:hAnsi="宋体" w:eastAsia="黑体" w:cs="宋体"/>
          <w:b w:val="0"/>
          <w:bCs w:val="0"/>
          <w:kern w:val="0"/>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rPr>
          <w:rFonts w:ascii="黑体" w:hAnsi="宋体" w:eastAsia="黑体" w:cs="宋体"/>
          <w:b w:val="0"/>
          <w:bCs w:val="0"/>
          <w:kern w:val="0"/>
          <w:sz w:val="32"/>
          <w:szCs w:val="32"/>
        </w:rPr>
      </w:pPr>
      <w:r>
        <w:rPr>
          <w:rFonts w:hint="eastAsia" w:ascii="黑体" w:hAnsi="宋体" w:eastAsia="黑体" w:cs="宋体"/>
          <w:b w:val="0"/>
          <w:bCs w:val="0"/>
          <w:kern w:val="0"/>
          <w:sz w:val="32"/>
          <w:szCs w:val="32"/>
        </w:rPr>
        <w:t>附件：</w:t>
      </w:r>
    </w:p>
    <w:p>
      <w:pPr>
        <w:ind w:firstLine="1600" w:firstLineChars="500"/>
        <w:rPr>
          <w:rFonts w:hint="eastAsia" w:ascii="黑体" w:hAnsi="黑体" w:eastAsia="黑体" w:cs="黑体"/>
          <w:b w:val="0"/>
          <w:bCs w:val="0"/>
          <w:sz w:val="32"/>
          <w:szCs w:val="32"/>
        </w:rPr>
      </w:pPr>
      <w:r>
        <w:rPr>
          <w:rFonts w:hint="eastAsia" w:ascii="黑体" w:hAnsi="黑体" w:eastAsia="黑体" w:cs="黑体"/>
          <w:b w:val="0"/>
          <w:bCs w:val="0"/>
          <w:sz w:val="32"/>
          <w:szCs w:val="32"/>
        </w:rPr>
        <w:t>鄂尔多斯市政府投资</w:t>
      </w:r>
      <w:r>
        <w:rPr>
          <w:rFonts w:hint="eastAsia" w:ascii="黑体" w:hAnsi="黑体" w:eastAsia="黑体" w:cs="黑体"/>
          <w:b w:val="0"/>
          <w:bCs w:val="0"/>
          <w:sz w:val="32"/>
          <w:szCs w:val="32"/>
          <w:lang w:eastAsia="zh-CN"/>
        </w:rPr>
        <w:t>项目代建中心</w:t>
      </w:r>
      <w:r>
        <w:rPr>
          <w:rFonts w:hint="eastAsia" w:ascii="黑体" w:hAnsi="黑体" w:eastAsia="黑体" w:cs="黑体"/>
          <w:b w:val="0"/>
          <w:bCs w:val="0"/>
          <w:sz w:val="32"/>
          <w:szCs w:val="32"/>
        </w:rPr>
        <w:t>建设工程造价咨询服务费项目和收费标准</w:t>
      </w:r>
    </w:p>
    <w:tbl>
      <w:tblPr>
        <w:tblStyle w:val="9"/>
        <w:tblW w:w="14174" w:type="dxa"/>
        <w:tblInd w:w="0" w:type="dxa"/>
        <w:tblLayout w:type="autofit"/>
        <w:tblCellMar>
          <w:top w:w="0" w:type="dxa"/>
          <w:left w:w="0" w:type="dxa"/>
          <w:bottom w:w="0" w:type="dxa"/>
          <w:right w:w="0" w:type="dxa"/>
        </w:tblCellMar>
      </w:tblPr>
      <w:tblGrid>
        <w:gridCol w:w="674"/>
        <w:gridCol w:w="1844"/>
        <w:gridCol w:w="1843"/>
        <w:gridCol w:w="1559"/>
        <w:gridCol w:w="1701"/>
        <w:gridCol w:w="1701"/>
        <w:gridCol w:w="1843"/>
        <w:gridCol w:w="1701"/>
        <w:gridCol w:w="1308"/>
      </w:tblGrid>
      <w:tr>
        <w:tblPrEx>
          <w:tblCellMar>
            <w:top w:w="0" w:type="dxa"/>
            <w:left w:w="0" w:type="dxa"/>
            <w:bottom w:w="0" w:type="dxa"/>
            <w:right w:w="0" w:type="dxa"/>
          </w:tblCellMar>
        </w:tblPrEx>
        <w:trPr>
          <w:trHeight w:val="176" w:hRule="atLeast"/>
        </w:trPr>
        <w:tc>
          <w:tcPr>
            <w:tcW w:w="674"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序号</w:t>
            </w:r>
          </w:p>
        </w:tc>
        <w:tc>
          <w:tcPr>
            <w:tcW w:w="1844" w:type="dxa"/>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咨询项目名称</w:t>
            </w:r>
          </w:p>
        </w:tc>
        <w:tc>
          <w:tcPr>
            <w:tcW w:w="1843" w:type="dxa"/>
            <w:vMerge w:val="restart"/>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收费基数</w:t>
            </w:r>
          </w:p>
        </w:tc>
        <w:tc>
          <w:tcPr>
            <w:tcW w:w="9813" w:type="dxa"/>
            <w:gridSpan w:val="6"/>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划分标准</w:t>
            </w:r>
          </w:p>
        </w:tc>
      </w:tr>
      <w:tr>
        <w:tblPrEx>
          <w:tblCellMar>
            <w:top w:w="0" w:type="dxa"/>
            <w:left w:w="0" w:type="dxa"/>
            <w:bottom w:w="0" w:type="dxa"/>
            <w:right w:w="0" w:type="dxa"/>
          </w:tblCellMar>
        </w:tblPrEx>
        <w:trPr>
          <w:trHeight w:val="174" w:hRule="atLeast"/>
        </w:trPr>
        <w:tc>
          <w:tcPr>
            <w:tcW w:w="67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cs="宋体"/>
                <w:b w:val="0"/>
                <w:bCs w:val="0"/>
                <w:kern w:val="0"/>
                <w:sz w:val="18"/>
                <w:szCs w:val="18"/>
              </w:rPr>
            </w:pPr>
          </w:p>
        </w:tc>
        <w:tc>
          <w:tcPr>
            <w:tcW w:w="1844" w:type="dxa"/>
            <w:vMerge w:val="continue"/>
            <w:tcBorders>
              <w:top w:val="single" w:color="000000" w:sz="8" w:space="0"/>
              <w:left w:val="nil"/>
              <w:bottom w:val="single" w:color="000000" w:sz="8" w:space="0"/>
              <w:right w:val="single" w:color="000000" w:sz="8" w:space="0"/>
            </w:tcBorders>
            <w:vAlign w:val="center"/>
          </w:tcPr>
          <w:p>
            <w:pPr>
              <w:widowControl/>
              <w:jc w:val="center"/>
              <w:rPr>
                <w:rFonts w:ascii="宋体" w:cs="宋体"/>
                <w:b w:val="0"/>
                <w:bCs w:val="0"/>
                <w:kern w:val="0"/>
                <w:sz w:val="18"/>
                <w:szCs w:val="18"/>
              </w:rPr>
            </w:pPr>
          </w:p>
        </w:tc>
        <w:tc>
          <w:tcPr>
            <w:tcW w:w="1843" w:type="dxa"/>
            <w:vMerge w:val="continue"/>
            <w:tcBorders>
              <w:top w:val="single" w:color="000000" w:sz="8" w:space="0"/>
              <w:left w:val="nil"/>
              <w:bottom w:val="single" w:color="000000" w:sz="8" w:space="0"/>
              <w:right w:val="single" w:color="000000" w:sz="8" w:space="0"/>
            </w:tcBorders>
            <w:vAlign w:val="center"/>
          </w:tcPr>
          <w:p>
            <w:pPr>
              <w:widowControl/>
              <w:jc w:val="center"/>
              <w:rPr>
                <w:rFonts w:ascii="宋体" w:cs="宋体"/>
                <w:b w:val="0"/>
                <w:bCs w:val="0"/>
                <w:kern w:val="0"/>
                <w:sz w:val="18"/>
                <w:szCs w:val="18"/>
              </w:rPr>
            </w:pPr>
          </w:p>
        </w:tc>
        <w:tc>
          <w:tcPr>
            <w:tcW w:w="15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w:t>
            </w:r>
            <w:r>
              <w:rPr>
                <w:rFonts w:ascii="宋体" w:hAnsi="宋体" w:cs="宋体"/>
                <w:b w:val="0"/>
                <w:bCs w:val="0"/>
                <w:kern w:val="0"/>
                <w:sz w:val="18"/>
                <w:szCs w:val="18"/>
              </w:rPr>
              <w:t>3000</w:t>
            </w:r>
            <w:r>
              <w:rPr>
                <w:rFonts w:hint="eastAsia" w:ascii="宋体" w:hAnsi="宋体" w:cs="宋体"/>
                <w:b w:val="0"/>
                <w:bCs w:val="0"/>
                <w:kern w:val="0"/>
                <w:sz w:val="18"/>
                <w:szCs w:val="18"/>
              </w:rPr>
              <w:t>万元</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3000—5000</w:t>
            </w:r>
            <w:r>
              <w:rPr>
                <w:rFonts w:hint="eastAsia" w:ascii="宋体" w:hAnsi="宋体" w:cs="宋体"/>
                <w:b w:val="0"/>
                <w:bCs w:val="0"/>
                <w:kern w:val="0"/>
                <w:sz w:val="18"/>
                <w:szCs w:val="18"/>
              </w:rPr>
              <w:t>万元</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5000—10000</w:t>
            </w:r>
            <w:r>
              <w:rPr>
                <w:rFonts w:hint="eastAsia" w:ascii="宋体" w:hAnsi="宋体" w:cs="宋体"/>
                <w:b w:val="0"/>
                <w:bCs w:val="0"/>
                <w:kern w:val="0"/>
                <w:sz w:val="18"/>
                <w:szCs w:val="18"/>
              </w:rPr>
              <w:t>万元</w:t>
            </w:r>
          </w:p>
        </w:tc>
        <w:tc>
          <w:tcPr>
            <w:tcW w:w="184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10000—30000</w:t>
            </w:r>
            <w:r>
              <w:rPr>
                <w:rFonts w:hint="eastAsia" w:ascii="宋体" w:hAnsi="宋体" w:cs="宋体"/>
                <w:b w:val="0"/>
                <w:bCs w:val="0"/>
                <w:kern w:val="0"/>
                <w:sz w:val="18"/>
                <w:szCs w:val="18"/>
              </w:rPr>
              <w:t>万元</w:t>
            </w:r>
          </w:p>
        </w:tc>
        <w:tc>
          <w:tcPr>
            <w:tcW w:w="1701" w:type="dxa"/>
            <w:tcBorders>
              <w:top w:val="nil"/>
              <w:left w:val="nil"/>
              <w:bottom w:val="single" w:color="000000"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30000-50000</w:t>
            </w:r>
            <w:r>
              <w:rPr>
                <w:rFonts w:hint="eastAsia" w:ascii="宋体" w:hAnsi="宋体" w:cs="宋体"/>
                <w:b w:val="0"/>
                <w:bCs w:val="0"/>
                <w:kern w:val="0"/>
                <w:sz w:val="18"/>
                <w:szCs w:val="18"/>
              </w:rPr>
              <w:t>万元</w:t>
            </w:r>
          </w:p>
        </w:tc>
        <w:tc>
          <w:tcPr>
            <w:tcW w:w="1308" w:type="dxa"/>
            <w:tcBorders>
              <w:top w:val="nil"/>
              <w:left w:val="single" w:color="auto" w:sz="4" w:space="0"/>
              <w:bottom w:val="single" w:color="000000" w:sz="8" w:space="0"/>
              <w:right w:val="single" w:color="000000" w:sz="8" w:space="0"/>
            </w:tcBorders>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50000</w:t>
            </w:r>
            <w:r>
              <w:rPr>
                <w:rFonts w:hint="eastAsia" w:ascii="宋体" w:hAnsi="宋体" w:cs="宋体"/>
                <w:b w:val="0"/>
                <w:bCs w:val="0"/>
                <w:kern w:val="0"/>
                <w:sz w:val="18"/>
                <w:szCs w:val="18"/>
              </w:rPr>
              <w:t>万元以上</w:t>
            </w:r>
          </w:p>
        </w:tc>
      </w:tr>
      <w:tr>
        <w:tblPrEx>
          <w:tblCellMar>
            <w:top w:w="0" w:type="dxa"/>
            <w:left w:w="0" w:type="dxa"/>
            <w:bottom w:w="0" w:type="dxa"/>
            <w:right w:w="0" w:type="dxa"/>
          </w:tblCellMar>
        </w:tblPrEx>
        <w:trPr>
          <w:trHeight w:val="412" w:hRule="atLeast"/>
        </w:trPr>
        <w:tc>
          <w:tcPr>
            <w:tcW w:w="67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w:t>
            </w:r>
          </w:p>
        </w:tc>
        <w:tc>
          <w:tcPr>
            <w:tcW w:w="18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投资估算</w:t>
            </w:r>
          </w:p>
        </w:tc>
        <w:tc>
          <w:tcPr>
            <w:tcW w:w="184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估算投资额</w:t>
            </w:r>
          </w:p>
        </w:tc>
        <w:tc>
          <w:tcPr>
            <w:tcW w:w="15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1.8‰</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1.7‰</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1.5‰</w:t>
            </w:r>
          </w:p>
        </w:tc>
        <w:tc>
          <w:tcPr>
            <w:tcW w:w="184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1.2‰</w:t>
            </w:r>
          </w:p>
        </w:tc>
        <w:tc>
          <w:tcPr>
            <w:tcW w:w="1701" w:type="dxa"/>
            <w:tcBorders>
              <w:top w:val="nil"/>
              <w:left w:val="nil"/>
              <w:bottom w:val="single" w:color="000000"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1‰</w:t>
            </w:r>
          </w:p>
        </w:tc>
        <w:tc>
          <w:tcPr>
            <w:tcW w:w="1308" w:type="dxa"/>
            <w:tcBorders>
              <w:top w:val="nil"/>
              <w:left w:val="single" w:color="auto" w:sz="4" w:space="0"/>
              <w:bottom w:val="single" w:color="000000" w:sz="8" w:space="0"/>
              <w:right w:val="single" w:color="000000" w:sz="8" w:space="0"/>
            </w:tcBorders>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0.8‰</w:t>
            </w:r>
          </w:p>
        </w:tc>
      </w:tr>
      <w:tr>
        <w:tblPrEx>
          <w:tblCellMar>
            <w:top w:w="0" w:type="dxa"/>
            <w:left w:w="0" w:type="dxa"/>
            <w:bottom w:w="0" w:type="dxa"/>
            <w:right w:w="0" w:type="dxa"/>
          </w:tblCellMar>
        </w:tblPrEx>
        <w:trPr>
          <w:trHeight w:val="412" w:hRule="atLeast"/>
        </w:trPr>
        <w:tc>
          <w:tcPr>
            <w:tcW w:w="67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2</w:t>
            </w:r>
          </w:p>
        </w:tc>
        <w:tc>
          <w:tcPr>
            <w:tcW w:w="18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初步设计概算</w:t>
            </w:r>
          </w:p>
        </w:tc>
        <w:tc>
          <w:tcPr>
            <w:tcW w:w="184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概算金额</w:t>
            </w:r>
          </w:p>
        </w:tc>
        <w:tc>
          <w:tcPr>
            <w:tcW w:w="15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2.2‰</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2‰</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1.8‰</w:t>
            </w:r>
          </w:p>
        </w:tc>
        <w:tc>
          <w:tcPr>
            <w:tcW w:w="184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1.5‰</w:t>
            </w:r>
          </w:p>
        </w:tc>
        <w:tc>
          <w:tcPr>
            <w:tcW w:w="1701" w:type="dxa"/>
            <w:tcBorders>
              <w:top w:val="nil"/>
              <w:left w:val="nil"/>
              <w:bottom w:val="single" w:color="000000"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1.2‰</w:t>
            </w:r>
          </w:p>
        </w:tc>
        <w:tc>
          <w:tcPr>
            <w:tcW w:w="1308" w:type="dxa"/>
            <w:tcBorders>
              <w:top w:val="nil"/>
              <w:left w:val="single" w:color="auto" w:sz="4" w:space="0"/>
              <w:bottom w:val="single" w:color="000000" w:sz="8" w:space="0"/>
              <w:right w:val="single" w:color="000000" w:sz="8" w:space="0"/>
            </w:tcBorders>
            <w:vAlign w:val="center"/>
          </w:tcPr>
          <w:p>
            <w:pPr>
              <w:widowControl/>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1‰</w:t>
            </w:r>
          </w:p>
        </w:tc>
      </w:tr>
      <w:tr>
        <w:tblPrEx>
          <w:tblCellMar>
            <w:top w:w="0" w:type="dxa"/>
            <w:left w:w="0" w:type="dxa"/>
            <w:bottom w:w="0" w:type="dxa"/>
            <w:right w:w="0" w:type="dxa"/>
          </w:tblCellMar>
        </w:tblPrEx>
        <w:trPr>
          <w:trHeight w:val="412" w:hRule="atLeast"/>
        </w:trPr>
        <w:tc>
          <w:tcPr>
            <w:tcW w:w="674"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3</w:t>
            </w:r>
          </w:p>
        </w:tc>
        <w:tc>
          <w:tcPr>
            <w:tcW w:w="184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工程量清单编制及控制价编制</w:t>
            </w:r>
          </w:p>
        </w:tc>
        <w:tc>
          <w:tcPr>
            <w:tcW w:w="184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工程中标价</w:t>
            </w:r>
          </w:p>
        </w:tc>
        <w:tc>
          <w:tcPr>
            <w:tcW w:w="15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3</w:t>
            </w:r>
            <w:r>
              <w:rPr>
                <w:rFonts w:hint="eastAsia" w:ascii="宋体" w:hAnsi="宋体" w:cs="宋体"/>
                <w:b w:val="0"/>
                <w:bCs w:val="0"/>
                <w:kern w:val="0"/>
                <w:sz w:val="18"/>
                <w:szCs w:val="18"/>
              </w:rPr>
              <w:t>‰</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2.5</w:t>
            </w:r>
            <w:r>
              <w:rPr>
                <w:rFonts w:hint="eastAsia" w:ascii="宋体" w:hAnsi="宋体" w:cs="宋体"/>
                <w:b w:val="0"/>
                <w:bCs w:val="0"/>
                <w:kern w:val="0"/>
                <w:sz w:val="18"/>
                <w:szCs w:val="18"/>
              </w:rPr>
              <w:t>‰</w:t>
            </w:r>
          </w:p>
        </w:tc>
        <w:tc>
          <w:tcPr>
            <w:tcW w:w="170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2</w:t>
            </w:r>
            <w:r>
              <w:rPr>
                <w:rFonts w:hint="eastAsia" w:ascii="宋体" w:hAnsi="宋体" w:cs="宋体"/>
                <w:b w:val="0"/>
                <w:bCs w:val="0"/>
                <w:kern w:val="0"/>
                <w:sz w:val="18"/>
                <w:szCs w:val="18"/>
              </w:rPr>
              <w:t>‰</w:t>
            </w:r>
          </w:p>
        </w:tc>
        <w:tc>
          <w:tcPr>
            <w:tcW w:w="1843"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c>
          <w:tcPr>
            <w:tcW w:w="1701" w:type="dxa"/>
            <w:tcBorders>
              <w:top w:val="nil"/>
              <w:left w:val="nil"/>
              <w:bottom w:val="single" w:color="000000"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c>
          <w:tcPr>
            <w:tcW w:w="1308" w:type="dxa"/>
            <w:tcBorders>
              <w:top w:val="nil"/>
              <w:left w:val="single" w:color="auto" w:sz="4" w:space="0"/>
              <w:bottom w:val="single" w:color="000000" w:sz="8" w:space="0"/>
              <w:right w:val="single" w:color="000000" w:sz="8" w:space="0"/>
            </w:tcBorders>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w:t>
            </w:r>
            <w:r>
              <w:rPr>
                <w:rFonts w:hint="eastAsia" w:ascii="宋体" w:hAnsi="宋体" w:cs="宋体"/>
                <w:b w:val="0"/>
                <w:bCs w:val="0"/>
                <w:kern w:val="0"/>
                <w:sz w:val="18"/>
                <w:szCs w:val="18"/>
              </w:rPr>
              <w:t>‰</w:t>
            </w:r>
          </w:p>
        </w:tc>
      </w:tr>
      <w:tr>
        <w:tblPrEx>
          <w:tblCellMar>
            <w:top w:w="0" w:type="dxa"/>
            <w:left w:w="0" w:type="dxa"/>
            <w:bottom w:w="0" w:type="dxa"/>
            <w:right w:w="0" w:type="dxa"/>
          </w:tblCellMar>
        </w:tblPrEx>
        <w:trPr>
          <w:trHeight w:val="495" w:hRule="atLeast"/>
        </w:trPr>
        <w:tc>
          <w:tcPr>
            <w:tcW w:w="674" w:type="dxa"/>
            <w:tcBorders>
              <w:top w:val="nil"/>
              <w:left w:val="single" w:color="000000" w:sz="8" w:space="0"/>
              <w:bottom w:val="single" w:color="auto" w:sz="4"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4</w:t>
            </w:r>
          </w:p>
        </w:tc>
        <w:tc>
          <w:tcPr>
            <w:tcW w:w="1844"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工程量清单及控制价审核</w:t>
            </w:r>
          </w:p>
        </w:tc>
        <w:tc>
          <w:tcPr>
            <w:tcW w:w="1843"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工程中标价</w:t>
            </w:r>
          </w:p>
        </w:tc>
        <w:tc>
          <w:tcPr>
            <w:tcW w:w="1559"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1.2</w:t>
            </w:r>
            <w:r>
              <w:rPr>
                <w:rFonts w:hint="eastAsia" w:ascii="宋体" w:hAnsi="宋体" w:cs="宋体"/>
                <w:b w:val="0"/>
                <w:bCs w:val="0"/>
                <w:kern w:val="0"/>
                <w:sz w:val="18"/>
                <w:szCs w:val="18"/>
              </w:rPr>
              <w:t>‰</w:t>
            </w:r>
          </w:p>
        </w:tc>
        <w:tc>
          <w:tcPr>
            <w:tcW w:w="1701"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w:t>
            </w:r>
            <w:r>
              <w:rPr>
                <w:rFonts w:hint="eastAsia" w:ascii="宋体" w:hAnsi="宋体" w:cs="宋体"/>
                <w:b w:val="0"/>
                <w:bCs w:val="0"/>
                <w:kern w:val="0"/>
                <w:sz w:val="18"/>
                <w:szCs w:val="18"/>
              </w:rPr>
              <w:t>‰</w:t>
            </w:r>
          </w:p>
        </w:tc>
        <w:tc>
          <w:tcPr>
            <w:tcW w:w="1701"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0.9</w:t>
            </w:r>
            <w:r>
              <w:rPr>
                <w:rFonts w:hint="eastAsia" w:ascii="宋体" w:hAnsi="宋体" w:cs="宋体"/>
                <w:b w:val="0"/>
                <w:bCs w:val="0"/>
                <w:kern w:val="0"/>
                <w:sz w:val="18"/>
                <w:szCs w:val="18"/>
              </w:rPr>
              <w:t>‰</w:t>
            </w:r>
          </w:p>
        </w:tc>
        <w:tc>
          <w:tcPr>
            <w:tcW w:w="1843"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0.8</w:t>
            </w:r>
            <w:r>
              <w:rPr>
                <w:rFonts w:hint="eastAsia" w:ascii="宋体" w:hAnsi="宋体" w:cs="宋体"/>
                <w:b w:val="0"/>
                <w:bCs w:val="0"/>
                <w:kern w:val="0"/>
                <w:sz w:val="18"/>
                <w:szCs w:val="18"/>
              </w:rPr>
              <w:t>‰</w:t>
            </w:r>
          </w:p>
        </w:tc>
        <w:tc>
          <w:tcPr>
            <w:tcW w:w="1701"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0.75</w:t>
            </w:r>
            <w:r>
              <w:rPr>
                <w:rFonts w:hint="eastAsia" w:ascii="宋体" w:hAnsi="宋体" w:cs="宋体"/>
                <w:b w:val="0"/>
                <w:bCs w:val="0"/>
                <w:kern w:val="0"/>
                <w:sz w:val="18"/>
                <w:szCs w:val="18"/>
              </w:rPr>
              <w:t>‰</w:t>
            </w:r>
          </w:p>
        </w:tc>
        <w:tc>
          <w:tcPr>
            <w:tcW w:w="1308" w:type="dxa"/>
            <w:tcBorders>
              <w:top w:val="nil"/>
              <w:left w:val="single" w:color="auto" w:sz="4" w:space="0"/>
              <w:bottom w:val="single" w:color="auto" w:sz="4" w:space="0"/>
              <w:right w:val="single" w:color="000000" w:sz="8" w:space="0"/>
            </w:tcBorders>
            <w:vAlign w:val="center"/>
          </w:tcPr>
          <w:p>
            <w:pPr>
              <w:widowControl/>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0.6</w:t>
            </w:r>
            <w:r>
              <w:rPr>
                <w:rFonts w:hint="eastAsia" w:ascii="宋体" w:hAnsi="宋体" w:cs="宋体"/>
                <w:b w:val="0"/>
                <w:bCs w:val="0"/>
                <w:kern w:val="0"/>
                <w:sz w:val="18"/>
                <w:szCs w:val="18"/>
              </w:rPr>
              <w:t>‰</w:t>
            </w:r>
          </w:p>
        </w:tc>
      </w:tr>
      <w:tr>
        <w:tblPrEx>
          <w:tblCellMar>
            <w:top w:w="0" w:type="dxa"/>
            <w:left w:w="0" w:type="dxa"/>
            <w:bottom w:w="0" w:type="dxa"/>
            <w:right w:w="0" w:type="dxa"/>
          </w:tblCellMar>
        </w:tblPrEx>
        <w:trPr>
          <w:trHeight w:val="120" w:hRule="atLeast"/>
        </w:trPr>
        <w:tc>
          <w:tcPr>
            <w:tcW w:w="674"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hint="eastAsia" w:ascii="宋体" w:cs="宋体"/>
                <w:b w:val="0"/>
                <w:bCs w:val="0"/>
                <w:kern w:val="0"/>
                <w:sz w:val="18"/>
                <w:szCs w:val="18"/>
              </w:rPr>
              <w:t>5</w:t>
            </w:r>
          </w:p>
        </w:tc>
        <w:tc>
          <w:tcPr>
            <w:tcW w:w="1844"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施工阶段造价咨询</w:t>
            </w:r>
          </w:p>
        </w:tc>
        <w:tc>
          <w:tcPr>
            <w:tcW w:w="1843"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工程中标价</w:t>
            </w:r>
          </w:p>
        </w:tc>
        <w:tc>
          <w:tcPr>
            <w:tcW w:w="1559"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c>
          <w:tcPr>
            <w:tcW w:w="1843"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c>
          <w:tcPr>
            <w:tcW w:w="1308" w:type="dxa"/>
            <w:tcBorders>
              <w:top w:val="single" w:color="auto" w:sz="4" w:space="0"/>
              <w:left w:val="single" w:color="auto" w:sz="4" w:space="0"/>
              <w:bottom w:val="single" w:color="auto" w:sz="4" w:space="0"/>
              <w:right w:val="single" w:color="000000" w:sz="8" w:space="0"/>
            </w:tcBorders>
            <w:vAlign w:val="center"/>
          </w:tcPr>
          <w:p>
            <w:pPr>
              <w:spacing w:before="100" w:beforeAutospacing="1" w:after="100" w:afterAutospacing="1"/>
              <w:ind w:firstLine="360" w:firstLineChars="200"/>
              <w:rPr>
                <w:rFonts w:ascii="宋体" w:cs="宋体"/>
                <w:b w:val="0"/>
                <w:bCs w:val="0"/>
                <w:kern w:val="0"/>
                <w:sz w:val="18"/>
                <w:szCs w:val="18"/>
              </w:rPr>
            </w:pPr>
            <w:r>
              <w:rPr>
                <w:rFonts w:ascii="宋体" w:hAnsi="宋体" w:cs="宋体"/>
                <w:b w:val="0"/>
                <w:bCs w:val="0"/>
                <w:kern w:val="0"/>
                <w:sz w:val="18"/>
                <w:szCs w:val="18"/>
              </w:rPr>
              <w:t>1.5</w:t>
            </w:r>
            <w:r>
              <w:rPr>
                <w:rFonts w:hint="eastAsia" w:ascii="宋体" w:hAnsi="宋体" w:cs="宋体"/>
                <w:b w:val="0"/>
                <w:bCs w:val="0"/>
                <w:kern w:val="0"/>
                <w:sz w:val="18"/>
                <w:szCs w:val="18"/>
              </w:rPr>
              <w:t>‰</w:t>
            </w:r>
          </w:p>
        </w:tc>
      </w:tr>
      <w:tr>
        <w:tblPrEx>
          <w:tblCellMar>
            <w:top w:w="0" w:type="dxa"/>
            <w:left w:w="0" w:type="dxa"/>
            <w:bottom w:w="0" w:type="dxa"/>
            <w:right w:w="0" w:type="dxa"/>
          </w:tblCellMar>
        </w:tblPrEx>
        <w:trPr>
          <w:trHeight w:val="150" w:hRule="atLeast"/>
        </w:trPr>
        <w:tc>
          <w:tcPr>
            <w:tcW w:w="674"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6</w:t>
            </w:r>
          </w:p>
        </w:tc>
        <w:tc>
          <w:tcPr>
            <w:tcW w:w="1844"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工程竣工结算审计</w:t>
            </w:r>
          </w:p>
        </w:tc>
        <w:tc>
          <w:tcPr>
            <w:tcW w:w="1843"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审定造价</w:t>
            </w:r>
          </w:p>
        </w:tc>
        <w:tc>
          <w:tcPr>
            <w:tcW w:w="1559"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6</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5.5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5</w:t>
            </w:r>
            <w:r>
              <w:rPr>
                <w:rFonts w:hint="eastAsia" w:ascii="宋体" w:hAnsi="宋体" w:cs="宋体"/>
                <w:b w:val="0"/>
                <w:bCs w:val="0"/>
                <w:kern w:val="0"/>
                <w:sz w:val="18"/>
                <w:szCs w:val="18"/>
              </w:rPr>
              <w:t>‰</w:t>
            </w:r>
          </w:p>
        </w:tc>
        <w:tc>
          <w:tcPr>
            <w:tcW w:w="1843"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4.5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4</w:t>
            </w:r>
            <w:r>
              <w:rPr>
                <w:rFonts w:hint="eastAsia" w:ascii="宋体" w:hAnsi="宋体" w:cs="宋体"/>
                <w:b w:val="0"/>
                <w:bCs w:val="0"/>
                <w:kern w:val="0"/>
                <w:sz w:val="18"/>
                <w:szCs w:val="18"/>
              </w:rPr>
              <w:t>‰</w:t>
            </w:r>
          </w:p>
        </w:tc>
        <w:tc>
          <w:tcPr>
            <w:tcW w:w="1308" w:type="dxa"/>
            <w:tcBorders>
              <w:top w:val="single" w:color="auto" w:sz="4" w:space="0"/>
              <w:left w:val="single" w:color="auto" w:sz="4" w:space="0"/>
              <w:bottom w:val="single" w:color="auto" w:sz="4" w:space="0"/>
              <w:right w:val="single" w:color="000000" w:sz="8" w:space="0"/>
            </w:tcBorders>
            <w:vAlign w:val="center"/>
          </w:tcPr>
          <w:p>
            <w:pPr>
              <w:spacing w:before="100" w:beforeAutospacing="1" w:after="100" w:afterAutospacing="1"/>
              <w:ind w:firstLine="360" w:firstLineChars="200"/>
              <w:rPr>
                <w:rFonts w:ascii="宋体" w:cs="宋体"/>
                <w:b w:val="0"/>
                <w:bCs w:val="0"/>
                <w:kern w:val="0"/>
                <w:sz w:val="18"/>
                <w:szCs w:val="18"/>
              </w:rPr>
            </w:pPr>
            <w:r>
              <w:rPr>
                <w:rFonts w:ascii="宋体" w:hAnsi="宋体" w:cs="宋体"/>
                <w:b w:val="0"/>
                <w:bCs w:val="0"/>
                <w:kern w:val="0"/>
                <w:sz w:val="18"/>
                <w:szCs w:val="18"/>
              </w:rPr>
              <w:t>3.5</w:t>
            </w:r>
            <w:r>
              <w:rPr>
                <w:rFonts w:hint="eastAsia" w:ascii="宋体" w:hAnsi="宋体" w:cs="宋体"/>
                <w:b w:val="0"/>
                <w:bCs w:val="0"/>
                <w:kern w:val="0"/>
                <w:sz w:val="18"/>
                <w:szCs w:val="18"/>
              </w:rPr>
              <w:t>‰</w:t>
            </w:r>
          </w:p>
        </w:tc>
      </w:tr>
      <w:tr>
        <w:tblPrEx>
          <w:tblCellMar>
            <w:top w:w="0" w:type="dxa"/>
            <w:left w:w="0" w:type="dxa"/>
            <w:bottom w:w="0" w:type="dxa"/>
            <w:right w:w="0" w:type="dxa"/>
          </w:tblCellMar>
        </w:tblPrEx>
        <w:trPr>
          <w:trHeight w:val="450" w:hRule="atLeast"/>
        </w:trPr>
        <w:tc>
          <w:tcPr>
            <w:tcW w:w="674"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hAnsi="宋体" w:cs="宋体"/>
                <w:b w:val="0"/>
                <w:bCs w:val="0"/>
                <w:kern w:val="0"/>
                <w:sz w:val="18"/>
                <w:szCs w:val="18"/>
              </w:rPr>
            </w:pPr>
            <w:r>
              <w:rPr>
                <w:rFonts w:hint="eastAsia" w:ascii="宋体" w:hAnsi="宋体" w:cs="宋体"/>
                <w:b w:val="0"/>
                <w:bCs w:val="0"/>
                <w:kern w:val="0"/>
                <w:sz w:val="18"/>
                <w:szCs w:val="18"/>
              </w:rPr>
              <w:t>7</w:t>
            </w:r>
          </w:p>
        </w:tc>
        <w:tc>
          <w:tcPr>
            <w:tcW w:w="1844"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全过程项目跟踪审计</w:t>
            </w:r>
          </w:p>
        </w:tc>
        <w:tc>
          <w:tcPr>
            <w:tcW w:w="1843"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hint="eastAsia" w:ascii="宋体" w:hAnsi="宋体" w:cs="宋体"/>
                <w:b w:val="0"/>
                <w:bCs w:val="0"/>
                <w:kern w:val="0"/>
                <w:sz w:val="18"/>
                <w:szCs w:val="18"/>
              </w:rPr>
              <w:t>投资分析中的建安投资</w:t>
            </w:r>
          </w:p>
        </w:tc>
        <w:tc>
          <w:tcPr>
            <w:tcW w:w="1559"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10.5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9.5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8.5</w:t>
            </w:r>
            <w:r>
              <w:rPr>
                <w:rFonts w:hint="eastAsia" w:ascii="宋体" w:hAnsi="宋体" w:cs="宋体"/>
                <w:b w:val="0"/>
                <w:bCs w:val="0"/>
                <w:kern w:val="0"/>
                <w:sz w:val="18"/>
                <w:szCs w:val="18"/>
              </w:rPr>
              <w:t>‰</w:t>
            </w:r>
          </w:p>
        </w:tc>
        <w:tc>
          <w:tcPr>
            <w:tcW w:w="1843" w:type="dxa"/>
            <w:tcBorders>
              <w:top w:val="single" w:color="auto" w:sz="4" w:space="0"/>
              <w:left w:val="nil"/>
              <w:bottom w:val="single" w:color="auto" w:sz="4" w:space="0"/>
              <w:right w:val="single" w:color="000000" w:sz="8"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7.5</w:t>
            </w:r>
            <w:r>
              <w:rPr>
                <w:rFonts w:hint="eastAsia" w:ascii="宋体" w:hAnsi="宋体" w:cs="宋体"/>
                <w:b w:val="0"/>
                <w:bCs w:val="0"/>
                <w:kern w:val="0"/>
                <w:sz w:val="18"/>
                <w:szCs w:val="18"/>
              </w:rPr>
              <w:t>‰</w:t>
            </w:r>
          </w:p>
        </w:tc>
        <w:tc>
          <w:tcPr>
            <w:tcW w:w="170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before="100" w:beforeAutospacing="1" w:after="100" w:afterAutospacing="1"/>
              <w:jc w:val="center"/>
              <w:rPr>
                <w:rFonts w:ascii="宋体" w:cs="宋体"/>
                <w:b w:val="0"/>
                <w:bCs w:val="0"/>
                <w:kern w:val="0"/>
                <w:sz w:val="18"/>
                <w:szCs w:val="18"/>
              </w:rPr>
            </w:pPr>
            <w:r>
              <w:rPr>
                <w:rFonts w:ascii="宋体" w:hAnsi="宋体" w:cs="宋体"/>
                <w:b w:val="0"/>
                <w:bCs w:val="0"/>
                <w:kern w:val="0"/>
                <w:sz w:val="18"/>
                <w:szCs w:val="18"/>
              </w:rPr>
              <w:t>7</w:t>
            </w:r>
            <w:r>
              <w:rPr>
                <w:rFonts w:hint="eastAsia" w:ascii="宋体" w:hAnsi="宋体" w:cs="宋体"/>
                <w:b w:val="0"/>
                <w:bCs w:val="0"/>
                <w:kern w:val="0"/>
                <w:sz w:val="18"/>
                <w:szCs w:val="18"/>
              </w:rPr>
              <w:t>‰</w:t>
            </w:r>
          </w:p>
        </w:tc>
        <w:tc>
          <w:tcPr>
            <w:tcW w:w="1308" w:type="dxa"/>
            <w:tcBorders>
              <w:top w:val="single" w:color="auto" w:sz="4" w:space="0"/>
              <w:left w:val="single" w:color="auto" w:sz="4" w:space="0"/>
              <w:bottom w:val="single" w:color="auto" w:sz="4" w:space="0"/>
              <w:right w:val="single" w:color="000000" w:sz="8" w:space="0"/>
            </w:tcBorders>
            <w:vAlign w:val="center"/>
          </w:tcPr>
          <w:p>
            <w:pPr>
              <w:spacing w:before="100" w:beforeAutospacing="1" w:after="100" w:afterAutospacing="1"/>
              <w:ind w:firstLine="360" w:firstLineChars="200"/>
              <w:rPr>
                <w:rFonts w:ascii="宋体" w:cs="宋体"/>
                <w:b w:val="0"/>
                <w:bCs w:val="0"/>
                <w:kern w:val="0"/>
                <w:sz w:val="18"/>
                <w:szCs w:val="18"/>
              </w:rPr>
            </w:pPr>
            <w:r>
              <w:rPr>
                <w:rFonts w:ascii="宋体" w:hAnsi="宋体" w:cs="宋体"/>
                <w:b w:val="0"/>
                <w:bCs w:val="0"/>
                <w:kern w:val="0"/>
                <w:sz w:val="18"/>
                <w:szCs w:val="18"/>
              </w:rPr>
              <w:t>6</w:t>
            </w:r>
            <w:r>
              <w:rPr>
                <w:rFonts w:hint="eastAsia" w:ascii="宋体" w:hAnsi="宋体" w:cs="宋体"/>
                <w:b w:val="0"/>
                <w:bCs w:val="0"/>
                <w:kern w:val="0"/>
                <w:sz w:val="18"/>
                <w:szCs w:val="18"/>
              </w:rPr>
              <w:t>‰</w:t>
            </w:r>
          </w:p>
        </w:tc>
      </w:tr>
    </w:tbl>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tLeast"/>
        <w:jc w:val="left"/>
        <w:textAlignment w:val="auto"/>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说明：1. 项目跟踪审计包括：清单控制价编制，施工阶段工程造价咨询，竣工结算审计。2. 中途接收项目跟踪审计按照对应内容计算相应费用，并增加已实施部分工程建安造价1‰的费用；3. 单独委托的技术改造的工程在按上述收费标准乘以1.2系数；4.如体育场馆、剧院、博物馆、航站楼等工程结构复杂的项目及维修修缮工程应在上述收费标准乘以1.1的系数；5.司法鉴定等涉及诉讼的项目，按照对应收费标准乘以1.2系数；6.固定价合同实施过程中没有变更，只计取工程量清单及控制价编制费；变更费用在合同金额的20%以内，施工阶段造价咨询费按上述计费标准的70%计算；变更费用在合同金额的20%以上，按上述收费标准全额计取。7.主材费及设备费均计入收费基数。</w:t>
      </w:r>
    </w:p>
    <w:p>
      <w:pPr>
        <w:spacing w:line="360" w:lineRule="auto"/>
        <w:rPr>
          <w:rFonts w:ascii="仿宋" w:hAnsi="仿宋" w:eastAsia="仿宋"/>
          <w:b w:val="0"/>
          <w:bCs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91212"/>
    <w:rsid w:val="00002A8B"/>
    <w:rsid w:val="00004274"/>
    <w:rsid w:val="00007DB2"/>
    <w:rsid w:val="00023314"/>
    <w:rsid w:val="0002710B"/>
    <w:rsid w:val="00035592"/>
    <w:rsid w:val="00043B51"/>
    <w:rsid w:val="00050390"/>
    <w:rsid w:val="00052CB9"/>
    <w:rsid w:val="00053DAA"/>
    <w:rsid w:val="00060613"/>
    <w:rsid w:val="00066C61"/>
    <w:rsid w:val="0008175C"/>
    <w:rsid w:val="000828AD"/>
    <w:rsid w:val="000841DA"/>
    <w:rsid w:val="000904B9"/>
    <w:rsid w:val="000912AC"/>
    <w:rsid w:val="00094035"/>
    <w:rsid w:val="000A1025"/>
    <w:rsid w:val="000A6AD0"/>
    <w:rsid w:val="000B0E20"/>
    <w:rsid w:val="000B240C"/>
    <w:rsid w:val="000B387F"/>
    <w:rsid w:val="000B51AE"/>
    <w:rsid w:val="000D1F71"/>
    <w:rsid w:val="000E0AA7"/>
    <w:rsid w:val="000E3B07"/>
    <w:rsid w:val="000F0160"/>
    <w:rsid w:val="001053B9"/>
    <w:rsid w:val="00107248"/>
    <w:rsid w:val="0011208A"/>
    <w:rsid w:val="00113097"/>
    <w:rsid w:val="00121F07"/>
    <w:rsid w:val="001236C0"/>
    <w:rsid w:val="00131C36"/>
    <w:rsid w:val="00133DE9"/>
    <w:rsid w:val="001412D8"/>
    <w:rsid w:val="00146417"/>
    <w:rsid w:val="0015249B"/>
    <w:rsid w:val="00152B4C"/>
    <w:rsid w:val="00162656"/>
    <w:rsid w:val="00163322"/>
    <w:rsid w:val="001636BA"/>
    <w:rsid w:val="0019378D"/>
    <w:rsid w:val="00193F7F"/>
    <w:rsid w:val="001B0904"/>
    <w:rsid w:val="001B630C"/>
    <w:rsid w:val="001C6FAB"/>
    <w:rsid w:val="001D3DCB"/>
    <w:rsid w:val="001D648D"/>
    <w:rsid w:val="001D79E6"/>
    <w:rsid w:val="001E163D"/>
    <w:rsid w:val="001E4CA3"/>
    <w:rsid w:val="001F13D8"/>
    <w:rsid w:val="001F25D1"/>
    <w:rsid w:val="001F52F0"/>
    <w:rsid w:val="001F7718"/>
    <w:rsid w:val="00201CEF"/>
    <w:rsid w:val="002037EE"/>
    <w:rsid w:val="0020699B"/>
    <w:rsid w:val="00207B3F"/>
    <w:rsid w:val="002130BF"/>
    <w:rsid w:val="0021519A"/>
    <w:rsid w:val="00234089"/>
    <w:rsid w:val="00245550"/>
    <w:rsid w:val="00260163"/>
    <w:rsid w:val="002624B6"/>
    <w:rsid w:val="00264B9A"/>
    <w:rsid w:val="002722A6"/>
    <w:rsid w:val="00275622"/>
    <w:rsid w:val="0028227B"/>
    <w:rsid w:val="00282493"/>
    <w:rsid w:val="002938FA"/>
    <w:rsid w:val="002A12AD"/>
    <w:rsid w:val="002A5342"/>
    <w:rsid w:val="002B4923"/>
    <w:rsid w:val="002B5728"/>
    <w:rsid w:val="002C2F5C"/>
    <w:rsid w:val="002D159F"/>
    <w:rsid w:val="002E0887"/>
    <w:rsid w:val="002E2BAC"/>
    <w:rsid w:val="002F2B76"/>
    <w:rsid w:val="00303FF4"/>
    <w:rsid w:val="0031043C"/>
    <w:rsid w:val="00313197"/>
    <w:rsid w:val="00314EFF"/>
    <w:rsid w:val="003402CA"/>
    <w:rsid w:val="00341786"/>
    <w:rsid w:val="0036048A"/>
    <w:rsid w:val="00361B06"/>
    <w:rsid w:val="0036542A"/>
    <w:rsid w:val="003660F4"/>
    <w:rsid w:val="00370B81"/>
    <w:rsid w:val="00384DE7"/>
    <w:rsid w:val="00387449"/>
    <w:rsid w:val="00396EDD"/>
    <w:rsid w:val="003A6EC5"/>
    <w:rsid w:val="003C0EAF"/>
    <w:rsid w:val="003C458A"/>
    <w:rsid w:val="003D56B9"/>
    <w:rsid w:val="003F7167"/>
    <w:rsid w:val="003F72BA"/>
    <w:rsid w:val="00401C6C"/>
    <w:rsid w:val="00402114"/>
    <w:rsid w:val="00404972"/>
    <w:rsid w:val="00412E3A"/>
    <w:rsid w:val="004146E8"/>
    <w:rsid w:val="00421721"/>
    <w:rsid w:val="004226D6"/>
    <w:rsid w:val="004638E1"/>
    <w:rsid w:val="004740CA"/>
    <w:rsid w:val="004810A9"/>
    <w:rsid w:val="00481386"/>
    <w:rsid w:val="00484C7C"/>
    <w:rsid w:val="004A5BDD"/>
    <w:rsid w:val="004A7B23"/>
    <w:rsid w:val="004B13EC"/>
    <w:rsid w:val="004B3951"/>
    <w:rsid w:val="004C3F69"/>
    <w:rsid w:val="004C54D6"/>
    <w:rsid w:val="004D2690"/>
    <w:rsid w:val="004F7F9A"/>
    <w:rsid w:val="00500406"/>
    <w:rsid w:val="00500DD7"/>
    <w:rsid w:val="0051126C"/>
    <w:rsid w:val="00512711"/>
    <w:rsid w:val="00522C1E"/>
    <w:rsid w:val="005230A3"/>
    <w:rsid w:val="005257E4"/>
    <w:rsid w:val="00533F98"/>
    <w:rsid w:val="00534728"/>
    <w:rsid w:val="00536C05"/>
    <w:rsid w:val="00540F46"/>
    <w:rsid w:val="005510EC"/>
    <w:rsid w:val="00564C1B"/>
    <w:rsid w:val="00571E82"/>
    <w:rsid w:val="00591681"/>
    <w:rsid w:val="005965B1"/>
    <w:rsid w:val="00596D20"/>
    <w:rsid w:val="005A1E03"/>
    <w:rsid w:val="005A3487"/>
    <w:rsid w:val="005A5C67"/>
    <w:rsid w:val="005A5F5E"/>
    <w:rsid w:val="005B0B5E"/>
    <w:rsid w:val="005B5444"/>
    <w:rsid w:val="005C3E84"/>
    <w:rsid w:val="005C7681"/>
    <w:rsid w:val="005D6ACC"/>
    <w:rsid w:val="005D76AD"/>
    <w:rsid w:val="005E2D6A"/>
    <w:rsid w:val="00610819"/>
    <w:rsid w:val="00615E6E"/>
    <w:rsid w:val="00623675"/>
    <w:rsid w:val="00641D19"/>
    <w:rsid w:val="00642A1C"/>
    <w:rsid w:val="00647238"/>
    <w:rsid w:val="00651BE6"/>
    <w:rsid w:val="00652D7E"/>
    <w:rsid w:val="00657C6D"/>
    <w:rsid w:val="006606CD"/>
    <w:rsid w:val="00661CE6"/>
    <w:rsid w:val="00663E0D"/>
    <w:rsid w:val="00672EEB"/>
    <w:rsid w:val="006923C9"/>
    <w:rsid w:val="00693CCF"/>
    <w:rsid w:val="006A34A4"/>
    <w:rsid w:val="006B2516"/>
    <w:rsid w:val="006C5000"/>
    <w:rsid w:val="006C5848"/>
    <w:rsid w:val="006D4A15"/>
    <w:rsid w:val="006D7F35"/>
    <w:rsid w:val="006E4184"/>
    <w:rsid w:val="006E4D4B"/>
    <w:rsid w:val="006F0405"/>
    <w:rsid w:val="006F3E3E"/>
    <w:rsid w:val="006F4641"/>
    <w:rsid w:val="006F4E62"/>
    <w:rsid w:val="006F7308"/>
    <w:rsid w:val="00700B0D"/>
    <w:rsid w:val="00701D8E"/>
    <w:rsid w:val="00712B86"/>
    <w:rsid w:val="00716E4E"/>
    <w:rsid w:val="00726995"/>
    <w:rsid w:val="00734C26"/>
    <w:rsid w:val="007555B6"/>
    <w:rsid w:val="00767457"/>
    <w:rsid w:val="00767CB5"/>
    <w:rsid w:val="00772B51"/>
    <w:rsid w:val="00776CDE"/>
    <w:rsid w:val="00777B03"/>
    <w:rsid w:val="00783090"/>
    <w:rsid w:val="00785C80"/>
    <w:rsid w:val="007916D7"/>
    <w:rsid w:val="00796A3E"/>
    <w:rsid w:val="007A0E41"/>
    <w:rsid w:val="007A0F90"/>
    <w:rsid w:val="007A2449"/>
    <w:rsid w:val="007A7FF0"/>
    <w:rsid w:val="007D108E"/>
    <w:rsid w:val="007E4A30"/>
    <w:rsid w:val="007E628B"/>
    <w:rsid w:val="007F0D53"/>
    <w:rsid w:val="007F65A6"/>
    <w:rsid w:val="007F7256"/>
    <w:rsid w:val="008015ED"/>
    <w:rsid w:val="00806643"/>
    <w:rsid w:val="0080753D"/>
    <w:rsid w:val="00807B9B"/>
    <w:rsid w:val="00812384"/>
    <w:rsid w:val="00815C8C"/>
    <w:rsid w:val="00823D1C"/>
    <w:rsid w:val="00826CF8"/>
    <w:rsid w:val="00830DC9"/>
    <w:rsid w:val="008430BD"/>
    <w:rsid w:val="00846767"/>
    <w:rsid w:val="0086262D"/>
    <w:rsid w:val="00864099"/>
    <w:rsid w:val="00864E49"/>
    <w:rsid w:val="00885013"/>
    <w:rsid w:val="00886772"/>
    <w:rsid w:val="008A75AB"/>
    <w:rsid w:val="008B1623"/>
    <w:rsid w:val="008B4529"/>
    <w:rsid w:val="008C765D"/>
    <w:rsid w:val="008C774E"/>
    <w:rsid w:val="008D0D4A"/>
    <w:rsid w:val="008D1890"/>
    <w:rsid w:val="008D4A9B"/>
    <w:rsid w:val="008D789F"/>
    <w:rsid w:val="008E5F32"/>
    <w:rsid w:val="008E6446"/>
    <w:rsid w:val="008F10C6"/>
    <w:rsid w:val="00904B21"/>
    <w:rsid w:val="0090539F"/>
    <w:rsid w:val="00906997"/>
    <w:rsid w:val="00910718"/>
    <w:rsid w:val="00911F79"/>
    <w:rsid w:val="00913C54"/>
    <w:rsid w:val="00922583"/>
    <w:rsid w:val="00924867"/>
    <w:rsid w:val="009276CB"/>
    <w:rsid w:val="009340DD"/>
    <w:rsid w:val="00941AE3"/>
    <w:rsid w:val="00943139"/>
    <w:rsid w:val="00943A50"/>
    <w:rsid w:val="00943C44"/>
    <w:rsid w:val="009477D7"/>
    <w:rsid w:val="009566B7"/>
    <w:rsid w:val="00962167"/>
    <w:rsid w:val="00974C67"/>
    <w:rsid w:val="00977B23"/>
    <w:rsid w:val="00980B18"/>
    <w:rsid w:val="009830DB"/>
    <w:rsid w:val="0098378F"/>
    <w:rsid w:val="00985A6D"/>
    <w:rsid w:val="0099072D"/>
    <w:rsid w:val="009911F3"/>
    <w:rsid w:val="00991824"/>
    <w:rsid w:val="00992BC8"/>
    <w:rsid w:val="00993687"/>
    <w:rsid w:val="00993EA4"/>
    <w:rsid w:val="00995810"/>
    <w:rsid w:val="009A6506"/>
    <w:rsid w:val="009A6C68"/>
    <w:rsid w:val="009B1910"/>
    <w:rsid w:val="009C70BE"/>
    <w:rsid w:val="009D6733"/>
    <w:rsid w:val="009E49AD"/>
    <w:rsid w:val="009E63F1"/>
    <w:rsid w:val="009F0189"/>
    <w:rsid w:val="00A0147D"/>
    <w:rsid w:val="00A06F5C"/>
    <w:rsid w:val="00A1400A"/>
    <w:rsid w:val="00A201E1"/>
    <w:rsid w:val="00A21F7B"/>
    <w:rsid w:val="00A44227"/>
    <w:rsid w:val="00A45018"/>
    <w:rsid w:val="00A503CA"/>
    <w:rsid w:val="00A5317B"/>
    <w:rsid w:val="00A61FB7"/>
    <w:rsid w:val="00A67292"/>
    <w:rsid w:val="00A806F7"/>
    <w:rsid w:val="00A92363"/>
    <w:rsid w:val="00A97E28"/>
    <w:rsid w:val="00AA04B6"/>
    <w:rsid w:val="00AA16B5"/>
    <w:rsid w:val="00AA51F5"/>
    <w:rsid w:val="00AA73F0"/>
    <w:rsid w:val="00AB2AD7"/>
    <w:rsid w:val="00AC0D2B"/>
    <w:rsid w:val="00AC31F2"/>
    <w:rsid w:val="00AC4914"/>
    <w:rsid w:val="00AD5D63"/>
    <w:rsid w:val="00AE0633"/>
    <w:rsid w:val="00AE6639"/>
    <w:rsid w:val="00AF73D9"/>
    <w:rsid w:val="00AF7DA8"/>
    <w:rsid w:val="00B03BAA"/>
    <w:rsid w:val="00B13612"/>
    <w:rsid w:val="00B15CDE"/>
    <w:rsid w:val="00B1777C"/>
    <w:rsid w:val="00B20DDF"/>
    <w:rsid w:val="00B31BD0"/>
    <w:rsid w:val="00B33F80"/>
    <w:rsid w:val="00B34AD8"/>
    <w:rsid w:val="00B36EE9"/>
    <w:rsid w:val="00B377EC"/>
    <w:rsid w:val="00B379E8"/>
    <w:rsid w:val="00B37C5B"/>
    <w:rsid w:val="00B43D81"/>
    <w:rsid w:val="00B440D5"/>
    <w:rsid w:val="00B55F48"/>
    <w:rsid w:val="00B62FD8"/>
    <w:rsid w:val="00B662FB"/>
    <w:rsid w:val="00B72C83"/>
    <w:rsid w:val="00B75DA3"/>
    <w:rsid w:val="00B86A5D"/>
    <w:rsid w:val="00BA013B"/>
    <w:rsid w:val="00BA02AD"/>
    <w:rsid w:val="00BA0FA9"/>
    <w:rsid w:val="00BA491F"/>
    <w:rsid w:val="00BA5266"/>
    <w:rsid w:val="00BB30E2"/>
    <w:rsid w:val="00BB55E0"/>
    <w:rsid w:val="00BC0939"/>
    <w:rsid w:val="00BC34C2"/>
    <w:rsid w:val="00BD2A50"/>
    <w:rsid w:val="00BD3680"/>
    <w:rsid w:val="00BE0966"/>
    <w:rsid w:val="00BE3C8D"/>
    <w:rsid w:val="00BE772B"/>
    <w:rsid w:val="00BF1617"/>
    <w:rsid w:val="00BF5311"/>
    <w:rsid w:val="00C01B5F"/>
    <w:rsid w:val="00C052B2"/>
    <w:rsid w:val="00C20C4F"/>
    <w:rsid w:val="00C244FC"/>
    <w:rsid w:val="00C27372"/>
    <w:rsid w:val="00C31D18"/>
    <w:rsid w:val="00C3537D"/>
    <w:rsid w:val="00C3594D"/>
    <w:rsid w:val="00C512E9"/>
    <w:rsid w:val="00C528CA"/>
    <w:rsid w:val="00C5605D"/>
    <w:rsid w:val="00C56FD0"/>
    <w:rsid w:val="00C6173A"/>
    <w:rsid w:val="00C62B37"/>
    <w:rsid w:val="00C635C5"/>
    <w:rsid w:val="00C8041A"/>
    <w:rsid w:val="00C93643"/>
    <w:rsid w:val="00CA3888"/>
    <w:rsid w:val="00CB0E2C"/>
    <w:rsid w:val="00CB155E"/>
    <w:rsid w:val="00CB6903"/>
    <w:rsid w:val="00CC02E0"/>
    <w:rsid w:val="00CC16C9"/>
    <w:rsid w:val="00CD0652"/>
    <w:rsid w:val="00CF2C5F"/>
    <w:rsid w:val="00CF762D"/>
    <w:rsid w:val="00D07CBA"/>
    <w:rsid w:val="00D1758D"/>
    <w:rsid w:val="00D20684"/>
    <w:rsid w:val="00D26286"/>
    <w:rsid w:val="00D353FA"/>
    <w:rsid w:val="00D416F1"/>
    <w:rsid w:val="00D47797"/>
    <w:rsid w:val="00D51C20"/>
    <w:rsid w:val="00D5209B"/>
    <w:rsid w:val="00D57B43"/>
    <w:rsid w:val="00D57D92"/>
    <w:rsid w:val="00D61B87"/>
    <w:rsid w:val="00D63E88"/>
    <w:rsid w:val="00D663F8"/>
    <w:rsid w:val="00D669DE"/>
    <w:rsid w:val="00D678DC"/>
    <w:rsid w:val="00D7417B"/>
    <w:rsid w:val="00D83EC8"/>
    <w:rsid w:val="00D940D8"/>
    <w:rsid w:val="00D9785C"/>
    <w:rsid w:val="00DA481D"/>
    <w:rsid w:val="00DB302B"/>
    <w:rsid w:val="00DD06C3"/>
    <w:rsid w:val="00DE1AE4"/>
    <w:rsid w:val="00DF1BCE"/>
    <w:rsid w:val="00E0548E"/>
    <w:rsid w:val="00E0562B"/>
    <w:rsid w:val="00E1569D"/>
    <w:rsid w:val="00E33AC5"/>
    <w:rsid w:val="00E377F3"/>
    <w:rsid w:val="00E45CDB"/>
    <w:rsid w:val="00E47732"/>
    <w:rsid w:val="00E52B20"/>
    <w:rsid w:val="00E618E0"/>
    <w:rsid w:val="00E779A6"/>
    <w:rsid w:val="00E80254"/>
    <w:rsid w:val="00E84009"/>
    <w:rsid w:val="00E86BB1"/>
    <w:rsid w:val="00E91212"/>
    <w:rsid w:val="00E91247"/>
    <w:rsid w:val="00E94D84"/>
    <w:rsid w:val="00E9622C"/>
    <w:rsid w:val="00EA03BE"/>
    <w:rsid w:val="00EA58B1"/>
    <w:rsid w:val="00EA63B6"/>
    <w:rsid w:val="00EA6ED6"/>
    <w:rsid w:val="00EB0D84"/>
    <w:rsid w:val="00EB2B6C"/>
    <w:rsid w:val="00EB59B1"/>
    <w:rsid w:val="00ED2ED5"/>
    <w:rsid w:val="00EE1041"/>
    <w:rsid w:val="00EE1CE3"/>
    <w:rsid w:val="00EF070E"/>
    <w:rsid w:val="00EF2E0E"/>
    <w:rsid w:val="00EF4C74"/>
    <w:rsid w:val="00EF7CD2"/>
    <w:rsid w:val="00F05E92"/>
    <w:rsid w:val="00F07633"/>
    <w:rsid w:val="00F12158"/>
    <w:rsid w:val="00F128C7"/>
    <w:rsid w:val="00F16A2A"/>
    <w:rsid w:val="00F20A89"/>
    <w:rsid w:val="00F3009D"/>
    <w:rsid w:val="00F41BD0"/>
    <w:rsid w:val="00F52541"/>
    <w:rsid w:val="00F67891"/>
    <w:rsid w:val="00F71AC9"/>
    <w:rsid w:val="00F82FD6"/>
    <w:rsid w:val="00F96A40"/>
    <w:rsid w:val="00FA013F"/>
    <w:rsid w:val="00FA60FF"/>
    <w:rsid w:val="00FB1B13"/>
    <w:rsid w:val="00FB78EE"/>
    <w:rsid w:val="00FD066B"/>
    <w:rsid w:val="00FD4F9C"/>
    <w:rsid w:val="00FD570C"/>
    <w:rsid w:val="00FD6D20"/>
    <w:rsid w:val="00FD7CF7"/>
    <w:rsid w:val="00FE08F3"/>
    <w:rsid w:val="12003C0A"/>
    <w:rsid w:val="38BF48AE"/>
    <w:rsid w:val="4B5C067C"/>
    <w:rsid w:val="603E74DE"/>
    <w:rsid w:val="646D1581"/>
    <w:rsid w:val="6B7F46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8"/>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qFormat/>
    <w:uiPriority w:val="99"/>
    <w:pPr>
      <w:jc w:val="left"/>
    </w:p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ind w:firstLine="480"/>
      <w:jc w:val="left"/>
    </w:pPr>
    <w:rPr>
      <w:rFonts w:ascii="宋体" w:hAnsi="宋体" w:cs="宋体"/>
      <w:kern w:val="0"/>
      <w:sz w:val="24"/>
      <w:szCs w:val="24"/>
    </w:rPr>
  </w:style>
  <w:style w:type="paragraph" w:styleId="8">
    <w:name w:val="annotation subject"/>
    <w:basedOn w:val="3"/>
    <w:next w:val="3"/>
    <w:link w:val="17"/>
    <w:semiHidden/>
    <w:qFormat/>
    <w:uiPriority w:val="99"/>
    <w:rPr>
      <w:b/>
      <w:bCs/>
    </w:rPr>
  </w:style>
  <w:style w:type="character" w:styleId="11">
    <w:name w:val="annotation reference"/>
    <w:basedOn w:val="10"/>
    <w:semiHidden/>
    <w:qFormat/>
    <w:uiPriority w:val="99"/>
    <w:rPr>
      <w:rFonts w:cs="Times New Roman"/>
      <w:sz w:val="21"/>
      <w:szCs w:val="21"/>
    </w:rPr>
  </w:style>
  <w:style w:type="paragraph" w:styleId="12">
    <w:name w:val="List Paragraph"/>
    <w:basedOn w:val="1"/>
    <w:qFormat/>
    <w:uiPriority w:val="99"/>
    <w:pPr>
      <w:ind w:firstLine="420" w:firstLineChars="200"/>
    </w:pPr>
  </w:style>
  <w:style w:type="character" w:customStyle="1" w:styleId="13">
    <w:name w:val="页眉 Char"/>
    <w:basedOn w:val="10"/>
    <w:link w:val="6"/>
    <w:semiHidden/>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cs="Times New Roman"/>
      <w:sz w:val="2"/>
    </w:rPr>
  </w:style>
  <w:style w:type="character" w:customStyle="1" w:styleId="16">
    <w:name w:val="批注文字 Char"/>
    <w:basedOn w:val="10"/>
    <w:link w:val="3"/>
    <w:semiHidden/>
    <w:qFormat/>
    <w:locked/>
    <w:uiPriority w:val="99"/>
    <w:rPr>
      <w:rFonts w:cs="Times New Roman"/>
    </w:rPr>
  </w:style>
  <w:style w:type="character" w:customStyle="1" w:styleId="17">
    <w:name w:val="批注主题 Char"/>
    <w:basedOn w:val="16"/>
    <w:link w:val="8"/>
    <w:semiHidden/>
    <w:qFormat/>
    <w:locked/>
    <w:uiPriority w:val="99"/>
    <w:rPr>
      <w:b/>
      <w:bCs/>
    </w:rPr>
  </w:style>
  <w:style w:type="character" w:customStyle="1" w:styleId="18">
    <w:name w:val="标题 2 Char"/>
    <w:basedOn w:val="10"/>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B073E8-BF5B-4650-A138-164EEBEA4FB0}">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674</Words>
  <Characters>3843</Characters>
  <Lines>32</Lines>
  <Paragraphs>9</Paragraphs>
  <TotalTime>4</TotalTime>
  <ScaleCrop>false</ScaleCrop>
  <LinksUpToDate>false</LinksUpToDate>
  <CharactersWithSpaces>4508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2016-05-30T06:17:00Z</dcterms:created>
  <dc:creator>Administrator</dc:creator>
  <cp:lastModifiedBy>单小超</cp:lastModifiedBy>
  <cp:lastPrinted>2016-04-29T03:37:00Z</cp:lastPrinted>
  <dcterms:modified xsi:type="dcterms:W3CDTF">2020-02-28T09:40:16Z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