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pStyle w:val="31"/>
              <w:ind w:firstLine="630" w:firstLineChars="3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营业执照</w:t>
            </w:r>
          </w:p>
        </w:tc>
        <w:tc>
          <w:tcPr>
            <w:tcW w:w="6560" w:type="dxa"/>
            <w:tcBorders>
              <w:top w:val="nil"/>
              <w:left w:val="nil"/>
              <w:bottom w:val="single" w:color="auto" w:sz="4" w:space="0"/>
              <w:right w:val="single" w:color="auto" w:sz="4" w:space="0"/>
            </w:tcBorders>
            <w:shd w:val="clear" w:color="auto" w:fill="auto"/>
            <w:vAlign w:val="center"/>
          </w:tcPr>
          <w:p>
            <w:pPr>
              <w:pStyle w:val="31"/>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具备有效的载有统一社会信用代码的营业执照（比选文件须附复印件）</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101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提供成功申报二星级绿色建筑标识</w:t>
            </w:r>
            <w:r>
              <w:rPr>
                <w:rFonts w:hint="eastAsia" w:ascii="宋体" w:hAnsi="宋体" w:cs="宋体"/>
                <w:color w:val="000000"/>
                <w:kern w:val="0"/>
                <w:sz w:val="21"/>
                <w:szCs w:val="21"/>
                <w:highlight w:val="none"/>
                <w:lang w:val="en-US" w:eastAsia="zh-CN"/>
              </w:rPr>
              <w:t>业绩</w:t>
            </w:r>
            <w:r>
              <w:rPr>
                <w:rFonts w:hint="eastAsia" w:ascii="宋体" w:hAnsi="宋体" w:cs="宋体"/>
                <w:color w:val="000000"/>
                <w:kern w:val="0"/>
                <w:sz w:val="21"/>
                <w:szCs w:val="21"/>
                <w:highlight w:val="none"/>
              </w:rPr>
              <w:t>2项(所获得的绿色建筑标识证书</w:t>
            </w:r>
            <w:r>
              <w:rPr>
                <w:rFonts w:hint="eastAsia" w:ascii="宋体" w:hAnsi="宋体" w:cs="宋体"/>
                <w:color w:val="000000"/>
                <w:kern w:val="0"/>
                <w:sz w:val="21"/>
                <w:szCs w:val="21"/>
                <w:highlight w:val="none"/>
                <w:lang w:val="en-US" w:eastAsia="zh-CN"/>
              </w:rPr>
              <w:t>复印件、</w:t>
            </w:r>
            <w:r>
              <w:rPr>
                <w:rFonts w:hint="eastAsia" w:ascii="宋体" w:hAnsi="宋体" w:cs="宋体"/>
                <w:color w:val="000000"/>
                <w:kern w:val="0"/>
                <w:sz w:val="21"/>
                <w:szCs w:val="21"/>
                <w:highlight w:val="none"/>
              </w:rPr>
              <w:t>提供合同复件加盖投标单位盖章)</w:t>
            </w:r>
            <w:r>
              <w:rPr>
                <w:rFonts w:hint="eastAsia" w:ascii="宋体" w:hAnsi="宋体" w:cs="宋体"/>
                <w:color w:val="000000"/>
                <w:kern w:val="0"/>
                <w:sz w:val="21"/>
                <w:szCs w:val="21"/>
                <w:highlight w:val="none"/>
                <w:lang w:val="en-US" w:eastAsia="zh-CN"/>
              </w:rPr>
              <w:t>。</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须具备副高级及以上职称且具有一级建筑师注册职业资格证书，工作年限不小于15年（</w:t>
            </w:r>
            <w:r>
              <w:rPr>
                <w:rFonts w:hint="eastAsia" w:ascii="宋体" w:hAnsi="宋体" w:cs="宋体"/>
                <w:color w:val="000000"/>
                <w:kern w:val="0"/>
                <w:sz w:val="21"/>
                <w:szCs w:val="21"/>
                <w:highlight w:val="none"/>
                <w:lang w:val="en-US" w:eastAsia="zh-CN"/>
              </w:rPr>
              <w:t>以毕业证书时间为准</w:t>
            </w:r>
            <w:r>
              <w:rPr>
                <w:rFonts w:hint="eastAsia" w:ascii="宋体" w:hAnsi="宋体" w:cs="宋体"/>
                <w:color w:val="000000"/>
                <w:kern w:val="0"/>
                <w:sz w:val="21"/>
                <w:szCs w:val="21"/>
                <w:highlight w:val="none"/>
                <w:lang w:eastAsia="zh-CN"/>
              </w:rPr>
              <w:t>）。（核查投标文件</w:t>
            </w:r>
            <w:r>
              <w:rPr>
                <w:rFonts w:hint="eastAsia" w:ascii="宋体" w:hAnsi="宋体" w:cs="宋体"/>
                <w:color w:val="000000"/>
                <w:kern w:val="0"/>
                <w:sz w:val="21"/>
                <w:szCs w:val="21"/>
                <w:highlight w:val="none"/>
                <w:lang w:val="en-US" w:eastAsia="zh-CN"/>
              </w:rPr>
              <w:t>职称证、资格证、毕业证</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lang w:val="en-US" w:eastAsia="zh-CN"/>
              </w:rPr>
              <w:t>提供比选人所属社保机构出具的2022年01月至今连续6个月（含）以上（新入职人员要求提供入职至投标截止日前）的社保缴费证明。</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其他</w:t>
            </w:r>
            <w:r>
              <w:rPr>
                <w:rFonts w:hint="eastAsia" w:ascii="宋体" w:hAnsi="宋体" w:cs="宋体"/>
                <w:color w:val="000000"/>
                <w:kern w:val="0"/>
                <w:sz w:val="21"/>
                <w:szCs w:val="21"/>
                <w:highlight w:val="none"/>
                <w:lang w:eastAsia="zh-CN"/>
              </w:rPr>
              <w:t>结构、暖通、给排水、电气专业</w:t>
            </w:r>
            <w:r>
              <w:rPr>
                <w:rFonts w:hint="eastAsia" w:ascii="宋体" w:hAnsi="宋体" w:cs="宋体"/>
                <w:color w:val="000000"/>
                <w:kern w:val="0"/>
                <w:sz w:val="21"/>
                <w:szCs w:val="21"/>
                <w:highlight w:val="none"/>
                <w:lang w:val="en-US" w:eastAsia="zh-CN"/>
              </w:rPr>
              <w:t>每专业</w:t>
            </w:r>
            <w:r>
              <w:rPr>
                <w:rFonts w:hint="eastAsia" w:ascii="宋体" w:hAnsi="宋体" w:cs="宋体"/>
                <w:color w:val="000000"/>
                <w:kern w:val="0"/>
                <w:sz w:val="21"/>
                <w:szCs w:val="21"/>
                <w:highlight w:val="none"/>
                <w:lang w:eastAsia="zh-CN"/>
              </w:rPr>
              <w:t>至少各配备1人，</w:t>
            </w:r>
            <w:r>
              <w:rPr>
                <w:rFonts w:hint="eastAsia" w:ascii="宋体" w:hAnsi="宋体" w:cs="宋体"/>
                <w:color w:val="000000"/>
                <w:kern w:val="0"/>
                <w:sz w:val="21"/>
                <w:szCs w:val="21"/>
                <w:highlight w:val="none"/>
                <w:lang w:val="en-US" w:eastAsia="zh-CN"/>
              </w:rPr>
              <w:t>要求</w:t>
            </w:r>
            <w:r>
              <w:rPr>
                <w:rFonts w:hint="eastAsia" w:ascii="宋体" w:hAnsi="宋体" w:cs="宋体"/>
                <w:color w:val="000000"/>
                <w:kern w:val="0"/>
                <w:sz w:val="21"/>
                <w:szCs w:val="21"/>
                <w:highlight w:val="none"/>
                <w:lang w:eastAsia="zh-CN"/>
              </w:rPr>
              <w:t>具有中级及以上职称</w:t>
            </w:r>
            <w:r>
              <w:rPr>
                <w:rFonts w:hint="eastAsia" w:ascii="宋体" w:hAnsi="宋体" w:cs="宋体"/>
                <w:color w:val="000000"/>
                <w:kern w:val="0"/>
                <w:sz w:val="21"/>
                <w:szCs w:val="21"/>
                <w:highlight w:val="none"/>
                <w:lang w:val="en-US" w:eastAsia="zh-CN"/>
              </w:rPr>
              <w:t>，人员需在本项目服务人员拟派表中明确。（核查投标文件中职称证书复印件及项目服务人员拟派表）。</w:t>
            </w:r>
            <w:r>
              <w:rPr>
                <w:rFonts w:hint="eastAsia" w:ascii="宋体" w:hAnsi="宋体" w:cs="宋体"/>
                <w:color w:val="000000"/>
                <w:kern w:val="0"/>
                <w:sz w:val="21"/>
                <w:szCs w:val="21"/>
                <w:lang w:val="en-US" w:eastAsia="zh-CN"/>
              </w:rPr>
              <w:t>提供比选人所属社保机构出具的2022年01月至今连续6个月（含）以上（新入职人员要求提供入职至投标截止日前）的社保缴费证明。</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信誉要求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到提交响应文件的截止时间，比选人未被列入失信被执行人、未被列入严重违法失信名单。（查验信用中国网站、国家企业信用信息公示系统网站</w:t>
            </w:r>
            <w:bookmarkStart w:id="0" w:name="_GoBack"/>
            <w:bookmarkEnd w:id="0"/>
            <w:r>
              <w:rPr>
                <w:rFonts w:hint="eastAsia" w:ascii="宋体" w:hAnsi="宋体" w:cs="宋体"/>
                <w:color w:val="000000"/>
                <w:kern w:val="0"/>
                <w:sz w:val="21"/>
                <w:szCs w:val="21"/>
                <w:highlight w:val="none"/>
                <w:lang w:val="en-US" w:eastAsia="zh-CN"/>
              </w:rPr>
              <w:t>截图）。</w:t>
            </w:r>
          </w:p>
        </w:tc>
      </w:tr>
      <w:tr>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1570"/>
        <w:gridCol w:w="1955"/>
        <w:gridCol w:w="2292"/>
        <w:gridCol w:w="4263"/>
      </w:tblGrid>
      <w:tr>
        <w:tblPrEx>
          <w:tblCellMar>
            <w:top w:w="0" w:type="dxa"/>
            <w:left w:w="108" w:type="dxa"/>
            <w:bottom w:w="0" w:type="dxa"/>
            <w:right w:w="108" w:type="dxa"/>
          </w:tblCellMar>
        </w:tblPrEx>
        <w:trPr>
          <w:trHeight w:val="540" w:hRule="atLeast"/>
        </w:trPr>
        <w:tc>
          <w:tcPr>
            <w:tcW w:w="10080"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275"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投标报价：30分                                                                                    服务方案：50分                                                                                                                                                                          其他因素：20分</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0分）</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3、增减分计算办法：（1）当P=0时，投标人的投标报价得分为20分；（2）当P＜0时，偏差率每有-1%减0.5分，从20分减起，减完为止；（3）当P＞0时，偏差率每有+1%减0.5分，从30分减起，减完为止</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咨询服务方案 （</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szCs w:val="21"/>
                <w:highlight w:val="none"/>
              </w:rPr>
              <w:t>过程咨询服务准备工作及服务组织管理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优秀9-8分；良好7-6分；一般5-3分</w:t>
            </w:r>
          </w:p>
        </w:tc>
      </w:tr>
      <w:tr>
        <w:tblPrEx>
          <w:tblCellMar>
            <w:top w:w="0" w:type="dxa"/>
            <w:left w:w="108" w:type="dxa"/>
            <w:bottom w:w="0" w:type="dxa"/>
            <w:right w:w="108" w:type="dxa"/>
          </w:tblCellMar>
        </w:tblPrEx>
        <w:trPr>
          <w:trHeight w:val="315" w:hRule="atLeast"/>
        </w:trPr>
        <w:tc>
          <w:tcPr>
            <w:tcW w:w="157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r>
              <w:rPr>
                <w:rFonts w:ascii="宋体" w:hAnsi="宋体"/>
                <w:szCs w:val="21"/>
                <w:highlight w:val="none"/>
              </w:rPr>
              <w:t>绿色建筑过程咨询服务工作程序和关键技术策略把握</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优秀9-8分；良好7-6分；一般5-3分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szCs w:val="21"/>
                <w:highlight w:val="none"/>
              </w:rPr>
              <w:t>过程咨询服务质量的控制与管理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优秀8-7分；良好6-5分；一般4-2分</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w:t>
            </w:r>
            <w:r>
              <w:rPr>
                <w:rFonts w:hint="eastAsia" w:ascii="宋体" w:hAnsi="宋体"/>
                <w:color w:val="auto"/>
                <w:kern w:val="2"/>
                <w:sz w:val="21"/>
                <w:szCs w:val="21"/>
                <w:highlight w:val="none"/>
              </w:rPr>
              <w:t>控制造价措施</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优秀8-7分；良好6-5分；一般4-2分</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szCs w:val="21"/>
                <w:highlight w:val="none"/>
              </w:rPr>
              <w:t>过程重点、难点分析</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优秀8-7分；良好6-5分；一般4-2分</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highlight w:val="none"/>
              </w:rPr>
              <w:t>（</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w:t>
            </w:r>
            <w:r>
              <w:rPr>
                <w:rFonts w:hint="eastAsia" w:ascii="宋体" w:hAnsi="宋体"/>
                <w:szCs w:val="21"/>
                <w:highlight w:val="none"/>
              </w:rPr>
              <w:t>咨询进度安排及保障措施</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优秀8-7分；良好6-5分；一般4-2分</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其他因素</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20</w:t>
            </w:r>
            <w:r>
              <w:rPr>
                <w:rFonts w:hint="eastAsia" w:ascii="宋体" w:hAnsi="宋体" w:cs="宋体"/>
                <w:color w:val="000000" w:themeColor="text1"/>
                <w:kern w:val="0"/>
                <w:sz w:val="20"/>
                <w:szCs w:val="20"/>
                <w:highlight w:val="none"/>
                <w14:textFill>
                  <w14:solidFill>
                    <w14:schemeClr w14:val="tx1"/>
                  </w14:solidFill>
                </w14:textFill>
              </w:rPr>
              <w:t>分）</w:t>
            </w:r>
          </w:p>
          <w:p>
            <w:pPr>
              <w:widowControl/>
              <w:jc w:val="center"/>
              <w:rPr>
                <w:rFonts w:ascii="宋体" w:hAnsi="宋体" w:cs="宋体"/>
                <w:color w:val="000000"/>
                <w:kern w:val="0"/>
                <w:sz w:val="20"/>
                <w:szCs w:val="20"/>
              </w:rPr>
            </w:pPr>
          </w:p>
        </w:tc>
        <w:tc>
          <w:tcPr>
            <w:tcW w:w="4247" w:type="dxa"/>
            <w:gridSpan w:val="2"/>
            <w:tcBorders>
              <w:top w:val="single" w:color="auto" w:sz="4" w:space="0"/>
              <w:left w:val="nil"/>
              <w:right w:val="single" w:color="000000"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在满足比初步评审的基础上，另外担任过类似业绩的项目经理（不限定注册单位），每有一项家2分，最多加4分</w:t>
            </w:r>
            <w:r>
              <w:rPr>
                <w:rFonts w:hint="eastAsia" w:ascii="宋体" w:hAnsi="宋体" w:cs="宋体"/>
                <w:color w:val="000000"/>
                <w:kern w:val="0"/>
                <w:sz w:val="21"/>
                <w:szCs w:val="21"/>
                <w:highlight w:val="none"/>
                <w:lang w:eastAsia="zh-CN"/>
              </w:rPr>
              <w:t>（查验</w:t>
            </w:r>
            <w:r>
              <w:rPr>
                <w:rFonts w:hint="eastAsia" w:ascii="宋体" w:hAnsi="宋体" w:cs="宋体"/>
                <w:color w:val="000000"/>
                <w:kern w:val="0"/>
                <w:sz w:val="21"/>
                <w:szCs w:val="21"/>
                <w:highlight w:val="none"/>
                <w:lang w:val="en-US" w:eastAsia="zh-CN"/>
              </w:rPr>
              <w:t>合同或证书</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合同或证书不体现项目经理的，须提供第三方证明材料。类似业绩指</w:t>
            </w:r>
            <w:r>
              <w:rPr>
                <w:rFonts w:hint="eastAsia" w:ascii="宋体" w:hAnsi="宋体" w:cs="宋体"/>
                <w:color w:val="000000"/>
                <w:kern w:val="0"/>
                <w:sz w:val="21"/>
                <w:szCs w:val="21"/>
                <w:highlight w:val="none"/>
              </w:rPr>
              <w:t>成功申报二星级绿色建筑标识</w:t>
            </w:r>
            <w:r>
              <w:rPr>
                <w:rFonts w:hint="eastAsia" w:ascii="宋体" w:hAnsi="宋体" w:cs="宋体"/>
                <w:color w:val="000000"/>
                <w:kern w:val="0"/>
                <w:sz w:val="21"/>
                <w:szCs w:val="21"/>
                <w:highlight w:val="none"/>
                <w:lang w:val="en-US" w:eastAsia="zh-CN"/>
              </w:rPr>
              <w:t>业绩。</w:t>
            </w:r>
            <w:r>
              <w:rPr>
                <w:rFonts w:hint="eastAsia" w:ascii="宋体" w:hAnsi="宋体" w:cs="宋体"/>
                <w:color w:val="000000"/>
                <w:kern w:val="0"/>
                <w:sz w:val="20"/>
                <w:szCs w:val="20"/>
                <w:lang w:val="en-US" w:eastAsia="zh-CN"/>
              </w:rPr>
              <w:t>负责人业绩与投标人业绩不重复加分</w:t>
            </w:r>
            <w:r>
              <w:rPr>
                <w:rFonts w:hint="eastAsia" w:ascii="宋体" w:hAnsi="宋体" w:cs="宋体"/>
                <w:color w:val="000000"/>
                <w:kern w:val="0"/>
                <w:sz w:val="21"/>
                <w:szCs w:val="21"/>
                <w:highlight w:val="none"/>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拟派其他人员职称（5分）.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本项目拟派人员中，具有副高级及以上职称的，每有1人得1分，本项最高得5分（查验投标文件职称证书复印件）</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投标人业绩（6分）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在满足初步评审的基础上，每增加一项类似业绩得3分，本项最高得6分。（类似业绩指</w:t>
            </w:r>
            <w:r>
              <w:rPr>
                <w:rFonts w:hint="eastAsia" w:ascii="宋体" w:hAnsi="宋体" w:cs="宋体"/>
                <w:color w:val="000000"/>
                <w:kern w:val="0"/>
                <w:sz w:val="21"/>
                <w:szCs w:val="21"/>
                <w:highlight w:val="none"/>
              </w:rPr>
              <w:t>成功申报二星级绿色建筑标识</w:t>
            </w:r>
            <w:r>
              <w:rPr>
                <w:rFonts w:hint="eastAsia" w:ascii="宋体" w:hAnsi="宋体" w:cs="宋体"/>
                <w:color w:val="000000"/>
                <w:kern w:val="0"/>
                <w:sz w:val="21"/>
                <w:szCs w:val="21"/>
                <w:highlight w:val="none"/>
                <w:lang w:val="en-US" w:eastAsia="zh-CN"/>
              </w:rPr>
              <w:t>业绩。查验投标文件复印件加盖投标单位公章，负责人业绩与投标人业绩不重复加分）。</w:t>
            </w:r>
          </w:p>
        </w:tc>
      </w:tr>
      <w:tr>
        <w:tblPrEx>
          <w:tblCellMar>
            <w:top w:w="0" w:type="dxa"/>
            <w:left w:w="108" w:type="dxa"/>
            <w:bottom w:w="0" w:type="dxa"/>
            <w:right w:w="108" w:type="dxa"/>
          </w:tblCellMar>
        </w:tblPrEx>
        <w:trPr>
          <w:trHeight w:val="480" w:hRule="atLeast"/>
        </w:trPr>
        <w:tc>
          <w:tcPr>
            <w:tcW w:w="157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本地化服务（</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（1）本地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东胜、伊旗、康巴什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xml:space="preserve">有固定的常设服务机构 </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分(需提供房产证明或房屋租赁合同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，在本地注册的公司不需提供）</w:t>
            </w:r>
          </w:p>
        </w:tc>
      </w:tr>
      <w:tr>
        <w:tblPrEx>
          <w:tblCellMar>
            <w:top w:w="0" w:type="dxa"/>
            <w:left w:w="108" w:type="dxa"/>
            <w:bottom w:w="0" w:type="dxa"/>
            <w:right w:w="108" w:type="dxa"/>
          </w:tblCellMar>
        </w:tblPrEx>
        <w:trPr>
          <w:trHeight w:val="690"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（2）若在本地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东胜、伊旗、康巴什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无常设机构，投标人在投标文件中承诺在入围后两个月内在本地建立常设服务机构</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分(查验承诺书)</w:t>
            </w:r>
          </w:p>
        </w:tc>
      </w:tr>
      <w:tr>
        <w:tblPrEx>
          <w:tblCellMar>
            <w:top w:w="0" w:type="dxa"/>
            <w:left w:w="108" w:type="dxa"/>
            <w:bottom w:w="0" w:type="dxa"/>
            <w:right w:w="108" w:type="dxa"/>
          </w:tblCellMar>
        </w:tblPrEx>
        <w:trPr>
          <w:trHeight w:val="315"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（3）未说明</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得0分</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6752B3"/>
    <w:rsid w:val="0872235B"/>
    <w:rsid w:val="09A43F92"/>
    <w:rsid w:val="0A2B151B"/>
    <w:rsid w:val="0B0D430E"/>
    <w:rsid w:val="0B7F16DF"/>
    <w:rsid w:val="0BBC0FA3"/>
    <w:rsid w:val="0C626212"/>
    <w:rsid w:val="0D780A9E"/>
    <w:rsid w:val="0D9910B0"/>
    <w:rsid w:val="0EAA5270"/>
    <w:rsid w:val="0EE73C05"/>
    <w:rsid w:val="0FE01D5B"/>
    <w:rsid w:val="10362EB8"/>
    <w:rsid w:val="10CF267A"/>
    <w:rsid w:val="110A3474"/>
    <w:rsid w:val="11341EA7"/>
    <w:rsid w:val="11E0036E"/>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9105622"/>
    <w:rsid w:val="19917927"/>
    <w:rsid w:val="19E04DC9"/>
    <w:rsid w:val="1A3874FC"/>
    <w:rsid w:val="1B20131D"/>
    <w:rsid w:val="1B4057E3"/>
    <w:rsid w:val="1BF725E3"/>
    <w:rsid w:val="1C2473A2"/>
    <w:rsid w:val="1D240BBE"/>
    <w:rsid w:val="1D351539"/>
    <w:rsid w:val="1D845CE9"/>
    <w:rsid w:val="1DCB0EC0"/>
    <w:rsid w:val="1E167054"/>
    <w:rsid w:val="1E4E6C15"/>
    <w:rsid w:val="1E94061B"/>
    <w:rsid w:val="1EB569EA"/>
    <w:rsid w:val="1F5A661E"/>
    <w:rsid w:val="1FE93EF2"/>
    <w:rsid w:val="20B94664"/>
    <w:rsid w:val="20E06AFB"/>
    <w:rsid w:val="21B573DF"/>
    <w:rsid w:val="2229015B"/>
    <w:rsid w:val="22567BFC"/>
    <w:rsid w:val="22934484"/>
    <w:rsid w:val="22955210"/>
    <w:rsid w:val="234971CB"/>
    <w:rsid w:val="23F16B0C"/>
    <w:rsid w:val="260F2F4A"/>
    <w:rsid w:val="26312FF5"/>
    <w:rsid w:val="264611D9"/>
    <w:rsid w:val="27670C43"/>
    <w:rsid w:val="281C74E0"/>
    <w:rsid w:val="28227487"/>
    <w:rsid w:val="292F6136"/>
    <w:rsid w:val="293D5C68"/>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41C1D26"/>
    <w:rsid w:val="341D6C13"/>
    <w:rsid w:val="3483778D"/>
    <w:rsid w:val="3485544C"/>
    <w:rsid w:val="349B4F01"/>
    <w:rsid w:val="34B76D87"/>
    <w:rsid w:val="34CA10CC"/>
    <w:rsid w:val="358932A9"/>
    <w:rsid w:val="35C91A6F"/>
    <w:rsid w:val="364423AB"/>
    <w:rsid w:val="368E25AF"/>
    <w:rsid w:val="36D70362"/>
    <w:rsid w:val="374241B1"/>
    <w:rsid w:val="3779727A"/>
    <w:rsid w:val="37A17DFB"/>
    <w:rsid w:val="38246846"/>
    <w:rsid w:val="38C871CC"/>
    <w:rsid w:val="396B18F3"/>
    <w:rsid w:val="39C16CA5"/>
    <w:rsid w:val="3A4024B3"/>
    <w:rsid w:val="3A62773C"/>
    <w:rsid w:val="3AED6192"/>
    <w:rsid w:val="3BA61806"/>
    <w:rsid w:val="3BC525E8"/>
    <w:rsid w:val="3BDD3C73"/>
    <w:rsid w:val="3C0C7C67"/>
    <w:rsid w:val="3CE14E72"/>
    <w:rsid w:val="3DEC6C1A"/>
    <w:rsid w:val="3E304B6F"/>
    <w:rsid w:val="3E5645AE"/>
    <w:rsid w:val="3F1B617E"/>
    <w:rsid w:val="3F6B49E7"/>
    <w:rsid w:val="407713CF"/>
    <w:rsid w:val="40CA001E"/>
    <w:rsid w:val="411C0F21"/>
    <w:rsid w:val="41B12925"/>
    <w:rsid w:val="41CF4659"/>
    <w:rsid w:val="41D25675"/>
    <w:rsid w:val="420B72FB"/>
    <w:rsid w:val="422E4A30"/>
    <w:rsid w:val="427E3424"/>
    <w:rsid w:val="44585060"/>
    <w:rsid w:val="462B5AED"/>
    <w:rsid w:val="4641218F"/>
    <w:rsid w:val="46824B6B"/>
    <w:rsid w:val="46A05DFB"/>
    <w:rsid w:val="47A35F49"/>
    <w:rsid w:val="486C41D0"/>
    <w:rsid w:val="4A433654"/>
    <w:rsid w:val="4B1B6F3D"/>
    <w:rsid w:val="4B653324"/>
    <w:rsid w:val="4CA22CD2"/>
    <w:rsid w:val="4CB844C2"/>
    <w:rsid w:val="4CD22D8F"/>
    <w:rsid w:val="4CDB7D50"/>
    <w:rsid w:val="4DF87E62"/>
    <w:rsid w:val="4ED15FDA"/>
    <w:rsid w:val="4F693909"/>
    <w:rsid w:val="4FE22BBF"/>
    <w:rsid w:val="504F2826"/>
    <w:rsid w:val="506D51E4"/>
    <w:rsid w:val="50842675"/>
    <w:rsid w:val="50E62CF2"/>
    <w:rsid w:val="50F61DA8"/>
    <w:rsid w:val="513673A4"/>
    <w:rsid w:val="52162A82"/>
    <w:rsid w:val="52A06B38"/>
    <w:rsid w:val="52F17474"/>
    <w:rsid w:val="539775BC"/>
    <w:rsid w:val="542B1C64"/>
    <w:rsid w:val="545D4B80"/>
    <w:rsid w:val="54733718"/>
    <w:rsid w:val="54C539E4"/>
    <w:rsid w:val="552767BC"/>
    <w:rsid w:val="554D5E9C"/>
    <w:rsid w:val="55F77691"/>
    <w:rsid w:val="57880077"/>
    <w:rsid w:val="57D30508"/>
    <w:rsid w:val="59223EB6"/>
    <w:rsid w:val="59450CF0"/>
    <w:rsid w:val="59CC2262"/>
    <w:rsid w:val="5A20770E"/>
    <w:rsid w:val="5ACD5E2C"/>
    <w:rsid w:val="5ADB5852"/>
    <w:rsid w:val="5B9D46F0"/>
    <w:rsid w:val="5BBA1DA4"/>
    <w:rsid w:val="5D5548F7"/>
    <w:rsid w:val="5D992979"/>
    <w:rsid w:val="5E3621C1"/>
    <w:rsid w:val="5E782277"/>
    <w:rsid w:val="5E917E2C"/>
    <w:rsid w:val="5FE75693"/>
    <w:rsid w:val="602E725E"/>
    <w:rsid w:val="603D1753"/>
    <w:rsid w:val="61CA3833"/>
    <w:rsid w:val="62232491"/>
    <w:rsid w:val="636D59F7"/>
    <w:rsid w:val="640D4784"/>
    <w:rsid w:val="64C56F22"/>
    <w:rsid w:val="67811C48"/>
    <w:rsid w:val="67A9539F"/>
    <w:rsid w:val="689F385E"/>
    <w:rsid w:val="68AC26C1"/>
    <w:rsid w:val="69DC785F"/>
    <w:rsid w:val="69FF4F50"/>
    <w:rsid w:val="6A1009F8"/>
    <w:rsid w:val="6A5808A5"/>
    <w:rsid w:val="6C6C7D24"/>
    <w:rsid w:val="6CAA2CB7"/>
    <w:rsid w:val="6EF40649"/>
    <w:rsid w:val="6F317710"/>
    <w:rsid w:val="710042F6"/>
    <w:rsid w:val="714B5350"/>
    <w:rsid w:val="71C04BA8"/>
    <w:rsid w:val="724C19C2"/>
    <w:rsid w:val="72A96818"/>
    <w:rsid w:val="73CB395E"/>
    <w:rsid w:val="74370701"/>
    <w:rsid w:val="748C7224"/>
    <w:rsid w:val="748F7EBB"/>
    <w:rsid w:val="7501578F"/>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1708</Words>
  <Characters>1784</Characters>
  <Lines>38</Lines>
  <Paragraphs>10</Paragraphs>
  <TotalTime>3</TotalTime>
  <ScaleCrop>false</ScaleCrop>
  <LinksUpToDate>false</LinksUpToDate>
  <CharactersWithSpaces>2043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2022-04-24T08:04:00Z</cp:lastPrinted>
  <dcterms:modified xsi:type="dcterms:W3CDTF">2022-08-03T08:59:18Z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E17A87D3FA0A41C1AA5E998312F9A9F4</vt:lpwstr>
  </property>
  <property fmtid="{D5CDD505-2E9C-101B-9397-08002B2CF9AE}" pid="4" name="commondata">
    <vt:lpwstr>eyJoZGlkIjoiNDZiMTdmYTBjZmY1M2ZiMTZmZGVkOTc5ZTgzMmUxNGQifQ==</vt:lpwstr>
  </property>
</Properties>
</file>