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具备建设行政主管部门颁发的房屋建筑工程专业监理丙级（含）以上资质或工程监理综合资质</w:t>
            </w:r>
            <w:r>
              <w:rPr>
                <w:rFonts w:hint="eastAsia" w:ascii="宋体" w:hAnsi="宋体" w:cs="宋体"/>
                <w:color w:val="000000"/>
                <w:kern w:val="0"/>
                <w:sz w:val="21"/>
                <w:szCs w:val="21"/>
                <w:highlight w:val="none"/>
                <w:lang w:eastAsia="zh-CN"/>
              </w:rPr>
              <w:t>。（查验投标文件中证书复印件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lang w:eastAsia="zh-CN"/>
              </w:rPr>
              <w:t>）</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2019年至今，至少提供2项单项合同价在30万元以上的类似工程监理业绩。（核查投标文件中合同复印件加盖公章。监理合同价为费率的，提供招标人出具的第三方证明材料。）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111"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要求配备项目总监理工程师一名，具备全国注册监理工程师职业资格证且工作年限不少于3年。（核查投标文件中证书复印件）</w:t>
            </w:r>
            <w:r>
              <w:rPr>
                <w:rFonts w:hint="eastAsia" w:ascii="宋体" w:hAnsi="宋体" w:cs="宋体"/>
                <w:b/>
                <w:bCs/>
                <w:color w:val="000000"/>
                <w:kern w:val="0"/>
                <w:sz w:val="21"/>
                <w:szCs w:val="21"/>
                <w:lang w:val="en-US" w:eastAsia="zh-CN"/>
              </w:rPr>
              <w:t>比选时需提供2022年1月至今至少六个月社保连续缴费证明文件，工作年限以毕业证发证日期为准。</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人员要求至少具备省（自治区）级监理工程师执业资格或中级职称资格，且工作年限不少于2年。其他专业监理工程师由比选单位根据施工内容自行配备。内蒙古自治区以外的省（自治区）级监理工程师必须保证本地区监理工程师可跨省执业，并提供有效的证明材料，如发证机构文件或网站截图等（核查投标文件中相关证书复印件及项目管理机构组成表，工作年限以毕业证发证日期为准）比选时需提供2022年1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专业监理人员（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2019年至今，获市级（含）以上安全文明标准化示范工地的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在满足招标文件初步评审的基础上，每增加一项（2019年至今，以签订合同日期为准）30万元（含）以上的房屋建筑工程或房屋建筑维修改造工程监理业绩得3分，本项最高得6</w:t>
            </w:r>
            <w:bookmarkStart w:id="0" w:name="_GoBack"/>
            <w:bookmarkEnd w:id="0"/>
            <w:r>
              <w:rPr>
                <w:rFonts w:hint="eastAsia" w:ascii="宋体" w:hAnsi="宋体" w:cs="宋体"/>
                <w:color w:val="000000"/>
                <w:kern w:val="0"/>
                <w:sz w:val="20"/>
                <w:szCs w:val="20"/>
                <w:lang w:val="en-US" w:eastAsia="zh-CN"/>
              </w:rPr>
              <w:t>分。（查验比选文件合同复印件加盖单位公章，合同不体现项目金额的，需提供第三方证明材料，总监理工程师业绩与投标人业绩不重复加分，当某一业绩同属于总监理工程师和投标人时，只以投标人的业绩计取。</w:t>
            </w:r>
            <w:r>
              <w:rPr>
                <w:rFonts w:hint="eastAsia" w:ascii="宋体" w:hAnsi="宋体" w:cs="宋体"/>
                <w:color w:val="000000"/>
                <w:kern w:val="0"/>
                <w:sz w:val="21"/>
                <w:szCs w:val="21"/>
                <w:lang w:val="en-US" w:eastAsia="zh-CN"/>
              </w:rPr>
              <w:t>监理合同价为费率的，提供招标出具的第三方证明材料</w:t>
            </w:r>
            <w:r>
              <w:rPr>
                <w:rFonts w:hint="eastAsia" w:ascii="宋体" w:hAnsi="宋体" w:cs="宋体"/>
                <w:color w:val="000000"/>
                <w:kern w:val="0"/>
                <w:sz w:val="20"/>
                <w:szCs w:val="20"/>
                <w:lang w:val="en-US"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2179</Words>
  <Characters>2286</Characters>
  <Lines>38</Lines>
  <Paragraphs>10</Paragraphs>
  <TotalTime>19</TotalTime>
  <ScaleCrop>false</ScaleCrop>
  <LinksUpToDate>false</LinksUpToDate>
  <CharactersWithSpaces>2629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2022-06-14T08:45:00Z</cp:lastPrinted>
  <dcterms:modified xsi:type="dcterms:W3CDTF">2022-08-31T07:11:05Z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E17A87D3FA0A41C1AA5E998312F9A9F4</vt:lpwstr>
  </property>
</Properties>
</file>