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pPr>
        <w:widowControl/>
        <w:jc w:val="left"/>
        <w:rPr>
          <w:rFonts w:hint="eastAsia"/>
          <w:b/>
          <w:bCs/>
          <w:sz w:val="24"/>
          <w:lang w:eastAsia="zh-CN"/>
        </w:rPr>
      </w:pPr>
    </w:p>
    <w:p>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进行符合性审查</w:t>
      </w:r>
    </w:p>
    <w:tbl>
      <w:tblPr>
        <w:tblStyle w:val="10"/>
        <w:tblW w:w="10080" w:type="dxa"/>
        <w:tblInd w:w="93" w:type="dxa"/>
        <w:tblLayout w:type="fixed"/>
        <w:tblCellMar>
          <w:top w:w="0" w:type="dxa"/>
          <w:left w:w="108" w:type="dxa"/>
          <w:bottom w:w="0" w:type="dxa"/>
          <w:right w:w="108" w:type="dxa"/>
        </w:tblCellMar>
      </w:tblPr>
      <w:tblGrid>
        <w:gridCol w:w="1080"/>
        <w:gridCol w:w="2440"/>
        <w:gridCol w:w="6560"/>
      </w:tblGrid>
      <w:tr>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形式评审标准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投标人名称</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与营业执照名称一致（查验</w:t>
            </w:r>
            <w:r>
              <w:rPr>
                <w:rFonts w:hint="eastAsia" w:ascii="宋体" w:hAnsi="宋体" w:cs="宋体"/>
                <w:color w:val="000000"/>
                <w:kern w:val="0"/>
                <w:sz w:val="21"/>
                <w:szCs w:val="21"/>
                <w:lang w:eastAsia="zh-CN"/>
              </w:rPr>
              <w:t>投标文件中的复印件</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612"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签字、盖章</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投标文件中要求的法定代表人或其授权委托人签字字迹清晰，公章无遗漏。</w:t>
            </w:r>
          </w:p>
        </w:tc>
      </w:tr>
      <w:tr>
        <w:tblPrEx>
          <w:tblCellMar>
            <w:top w:w="0" w:type="dxa"/>
            <w:left w:w="108" w:type="dxa"/>
            <w:bottom w:w="0" w:type="dxa"/>
            <w:right w:w="108" w:type="dxa"/>
          </w:tblCellMar>
        </w:tblPrEx>
        <w:trPr>
          <w:trHeight w:val="759"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highlight w:val="none"/>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投标文件规范性</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p>
        </w:tc>
      </w:tr>
      <w:tr>
        <w:tblPrEx>
          <w:tblCellMar>
            <w:top w:w="0" w:type="dxa"/>
            <w:left w:w="108" w:type="dxa"/>
            <w:bottom w:w="0" w:type="dxa"/>
            <w:right w:w="108" w:type="dxa"/>
          </w:tblCellMar>
        </w:tblPrEx>
        <w:trPr>
          <w:trHeight w:val="413"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投标报价</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lang w:eastAsia="zh-CN"/>
              </w:rPr>
              <w:t>只能有一个有效报价且不超过控制价</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742" w:hRule="atLeast"/>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资格评审标准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具有独立承担民事责任的能力</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审查营业执照或事业单位法人证书或执业许可证或自然人的身份证明是否有效。（查验</w:t>
            </w:r>
            <w:r>
              <w:rPr>
                <w:rFonts w:hint="eastAsia" w:ascii="宋体" w:hAnsi="宋体" w:cs="宋体"/>
                <w:color w:val="000000"/>
                <w:kern w:val="0"/>
                <w:sz w:val="21"/>
                <w:szCs w:val="21"/>
                <w:lang w:eastAsia="zh-CN"/>
              </w:rPr>
              <w:t>投标文件中复印件</w:t>
            </w:r>
            <w:r>
              <w:rPr>
                <w:rFonts w:hint="eastAsia" w:ascii="宋体" w:hAnsi="宋体" w:cs="宋体"/>
                <w:color w:val="000000"/>
                <w:kern w:val="0"/>
                <w:sz w:val="21"/>
                <w:szCs w:val="21"/>
                <w:lang w:val="en-US" w:eastAsia="zh-CN"/>
              </w:rPr>
              <w:t>加盖公章</w:t>
            </w:r>
            <w:r>
              <w:rPr>
                <w:rFonts w:hint="eastAsia" w:ascii="宋体" w:hAnsi="宋体" w:cs="宋体"/>
                <w:color w:val="000000"/>
                <w:kern w:val="0"/>
                <w:sz w:val="21"/>
                <w:szCs w:val="21"/>
                <w:highlight w:val="none"/>
              </w:rPr>
              <w:t>）</w:t>
            </w:r>
          </w:p>
        </w:tc>
      </w:tr>
      <w:tr>
        <w:tblPrEx>
          <w:tblCellMar>
            <w:top w:w="0" w:type="dxa"/>
            <w:left w:w="108" w:type="dxa"/>
            <w:bottom w:w="0" w:type="dxa"/>
            <w:right w:w="108" w:type="dxa"/>
          </w:tblCellMar>
        </w:tblPrEx>
        <w:trPr>
          <w:trHeight w:val="853"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eastAsia="宋体" w:cs="宋体"/>
                <w:color w:val="000000"/>
                <w:kern w:val="0"/>
                <w:sz w:val="21"/>
                <w:szCs w:val="21"/>
                <w:highlight w:val="none"/>
                <w:lang w:eastAsia="zh-CN"/>
              </w:rPr>
            </w:pPr>
            <w:r>
              <w:rPr>
                <w:rFonts w:hint="eastAsia" w:ascii="宋体" w:hAnsi="宋体" w:cs="宋体"/>
                <w:color w:val="000000"/>
                <w:kern w:val="0"/>
                <w:sz w:val="21"/>
                <w:szCs w:val="21"/>
                <w:highlight w:val="none"/>
                <w:lang w:val="en-US" w:eastAsia="zh-CN"/>
              </w:rPr>
              <w:t>财务状况</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20</w:t>
            </w:r>
            <w:r>
              <w:rPr>
                <w:rFonts w:hint="eastAsia" w:ascii="宋体" w:hAnsi="宋体" w:cs="宋体"/>
                <w:color w:val="000000"/>
                <w:kern w:val="0"/>
                <w:sz w:val="21"/>
                <w:szCs w:val="21"/>
                <w:highlight w:val="none"/>
                <w:lang w:val="en-US" w:eastAsia="zh-CN"/>
              </w:rPr>
              <w:t>20年至今任意一</w:t>
            </w:r>
            <w:r>
              <w:rPr>
                <w:rFonts w:hint="eastAsia" w:ascii="宋体" w:hAnsi="宋体" w:cs="宋体"/>
                <w:color w:val="000000"/>
                <w:kern w:val="0"/>
                <w:sz w:val="21"/>
                <w:szCs w:val="21"/>
                <w:highlight w:val="none"/>
              </w:rPr>
              <w:t>年财务状况良好，没有处于财产被接管、破产或其他关、停、并、转状态（查验</w:t>
            </w:r>
            <w:r>
              <w:rPr>
                <w:rFonts w:hint="eastAsia" w:ascii="宋体" w:hAnsi="宋体" w:cs="宋体"/>
                <w:color w:val="000000"/>
                <w:kern w:val="0"/>
                <w:sz w:val="21"/>
                <w:szCs w:val="21"/>
                <w:lang w:eastAsia="zh-CN"/>
              </w:rPr>
              <w:t>投标文件中</w:t>
            </w:r>
            <w:r>
              <w:rPr>
                <w:rFonts w:hint="eastAsia" w:ascii="宋体" w:hAnsi="宋体" w:cs="宋体"/>
                <w:color w:val="000000"/>
                <w:kern w:val="0"/>
                <w:sz w:val="21"/>
                <w:szCs w:val="21"/>
                <w:highlight w:val="none"/>
              </w:rPr>
              <w:t>审计报告</w:t>
            </w:r>
            <w:r>
              <w:rPr>
                <w:rFonts w:hint="eastAsia" w:ascii="宋体" w:hAnsi="宋体" w:cs="宋体"/>
                <w:color w:val="000000"/>
                <w:kern w:val="0"/>
                <w:sz w:val="21"/>
                <w:szCs w:val="21"/>
                <w:highlight w:val="none"/>
                <w:lang w:eastAsia="zh-CN"/>
              </w:rPr>
              <w:t>复印件</w:t>
            </w:r>
            <w:r>
              <w:rPr>
                <w:rFonts w:hint="eastAsia" w:ascii="宋体" w:hAnsi="宋体" w:cs="宋体"/>
                <w:color w:val="000000"/>
                <w:kern w:val="0"/>
                <w:sz w:val="21"/>
                <w:szCs w:val="21"/>
                <w:highlight w:val="none"/>
                <w:lang w:val="en-US" w:eastAsia="zh-CN"/>
              </w:rPr>
              <w:t>加盖公章</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2022</w:t>
            </w:r>
            <w:r>
              <w:rPr>
                <w:rFonts w:hint="eastAsia" w:ascii="宋体" w:hAnsi="宋体" w:cs="宋体"/>
                <w:color w:val="000000"/>
                <w:kern w:val="0"/>
                <w:sz w:val="21"/>
                <w:szCs w:val="21"/>
                <w:highlight w:val="none"/>
              </w:rPr>
              <w:t>年新成立的单位无须提供审计报告。</w:t>
            </w:r>
          </w:p>
        </w:tc>
      </w:tr>
      <w:tr>
        <w:tblPrEx>
          <w:tblCellMar>
            <w:top w:w="0" w:type="dxa"/>
            <w:left w:w="108" w:type="dxa"/>
            <w:bottom w:w="0" w:type="dxa"/>
            <w:right w:w="108" w:type="dxa"/>
          </w:tblCellMar>
        </w:tblPrEx>
        <w:trPr>
          <w:trHeight w:val="87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资质</w:t>
            </w:r>
            <w:r>
              <w:rPr>
                <w:rFonts w:hint="eastAsia" w:ascii="宋体" w:hAnsi="宋体" w:cs="宋体"/>
                <w:color w:val="000000"/>
                <w:kern w:val="0"/>
                <w:sz w:val="21"/>
                <w:szCs w:val="21"/>
                <w:lang w:eastAsia="zh-CN"/>
              </w:rPr>
              <w:t>要求</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具备建设行政主管部门颁发的房屋建筑专业监理乙级（含）以上资质或工程监理综合资质。（查验投标文件中证书复印件加盖公章）</w:t>
            </w:r>
          </w:p>
        </w:tc>
      </w:tr>
      <w:tr>
        <w:tblPrEx>
          <w:tblCellMar>
            <w:top w:w="0" w:type="dxa"/>
            <w:left w:w="108" w:type="dxa"/>
            <w:bottom w:w="0" w:type="dxa"/>
            <w:right w:w="108" w:type="dxa"/>
          </w:tblCellMar>
        </w:tblPrEx>
        <w:trPr>
          <w:trHeight w:val="84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业绩</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2020年至今，至少提供2项单项合同价在20万元以上的类似工程监理业绩。（核查投标文件中合同复印件加盖公章。监理合同价为费率的，提供招标人出具的第三方证明材料。）</w:t>
            </w:r>
          </w:p>
        </w:tc>
      </w:tr>
      <w:tr>
        <w:tblPrEx>
          <w:tblCellMar>
            <w:top w:w="0" w:type="dxa"/>
            <w:left w:w="108" w:type="dxa"/>
            <w:bottom w:w="0" w:type="dxa"/>
            <w:right w:w="108" w:type="dxa"/>
          </w:tblCellMar>
        </w:tblPrEx>
        <w:trPr>
          <w:trHeight w:val="1033"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ind w:firstLine="420" w:firstLineChars="200"/>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总监理工程师</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要求配备项目总监理工程师一名，具备全国注册监理工程师职业资格证。（核查投标文件中证书复印件）</w:t>
            </w:r>
            <w:r>
              <w:rPr>
                <w:rFonts w:hint="eastAsia" w:ascii="宋体" w:hAnsi="宋体" w:cs="宋体"/>
                <w:b w:val="0"/>
                <w:bCs w:val="0"/>
                <w:color w:val="000000"/>
                <w:kern w:val="0"/>
                <w:sz w:val="21"/>
                <w:szCs w:val="21"/>
                <w:lang w:val="en-US" w:eastAsia="zh-CN"/>
              </w:rPr>
              <w:t>比选时需提供2022年8月至今至少六个月社保连续缴费证明文件。</w:t>
            </w:r>
          </w:p>
        </w:tc>
      </w:tr>
      <w:tr>
        <w:tblPrEx>
          <w:tblCellMar>
            <w:top w:w="0" w:type="dxa"/>
            <w:left w:w="108" w:type="dxa"/>
            <w:bottom w:w="0" w:type="dxa"/>
            <w:right w:w="108" w:type="dxa"/>
          </w:tblCellMar>
        </w:tblPrEx>
        <w:trPr>
          <w:trHeight w:val="1383"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ind w:firstLine="420" w:firstLineChars="200"/>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其他人员配备</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土建、水暖、电气专业至少各一名，配备一名负责安全的专职监理工程师。所有人员要求至少具备省（自治区）级监理工程师执业资格或中级职称资格。其他专业监理工程师由比选单位根据施工内容自行配备。（核查投标文件中相关证书复印件及项目管理机构组成表）比选时需提供2022年8月至今至少六个月社保连续缴费证明文件。</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响应性评审标准</w:t>
            </w:r>
          </w:p>
        </w:tc>
        <w:tc>
          <w:tcPr>
            <w:tcW w:w="2440" w:type="dxa"/>
            <w:tcBorders>
              <w:top w:val="nil"/>
              <w:left w:val="nil"/>
              <w:bottom w:val="single" w:color="auto" w:sz="4" w:space="0"/>
              <w:right w:val="single" w:color="auto" w:sz="4" w:space="0"/>
            </w:tcBorders>
            <w:shd w:val="clear" w:color="auto" w:fill="auto"/>
            <w:vAlign w:val="center"/>
          </w:tcPr>
          <w:p>
            <w:pPr>
              <w:widowControl/>
              <w:ind w:firstLine="420" w:firstLineChars="200"/>
              <w:rPr>
                <w:rFonts w:ascii="宋体" w:hAnsi="宋体" w:cs="宋体"/>
                <w:color w:val="000000"/>
                <w:kern w:val="0"/>
                <w:sz w:val="21"/>
                <w:szCs w:val="21"/>
              </w:rPr>
            </w:pPr>
            <w:r>
              <w:rPr>
                <w:rFonts w:hint="eastAsia" w:ascii="宋体" w:hAnsi="宋体" w:cs="宋体"/>
                <w:color w:val="000000"/>
                <w:kern w:val="0"/>
                <w:sz w:val="21"/>
                <w:szCs w:val="21"/>
              </w:rPr>
              <w:t>投标内容</w:t>
            </w:r>
          </w:p>
        </w:tc>
        <w:tc>
          <w:tcPr>
            <w:tcW w:w="6560"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符合</w:t>
            </w:r>
            <w:r>
              <w:rPr>
                <w:rFonts w:hint="eastAsia" w:ascii="宋体" w:hAnsi="宋体" w:cs="宋体"/>
                <w:color w:val="000000"/>
                <w:kern w:val="0"/>
                <w:sz w:val="21"/>
                <w:szCs w:val="21"/>
                <w:lang w:eastAsia="zh-CN"/>
              </w:rPr>
              <w:t>比选公告</w:t>
            </w:r>
            <w:r>
              <w:rPr>
                <w:rFonts w:hint="eastAsia" w:ascii="宋体" w:hAnsi="宋体" w:cs="宋体"/>
                <w:color w:val="000000"/>
                <w:kern w:val="0"/>
                <w:sz w:val="21"/>
                <w:szCs w:val="21"/>
              </w:rPr>
              <w:t>要求及相关法律法规要求。</w:t>
            </w:r>
          </w:p>
        </w:tc>
      </w:tr>
      <w:tr>
        <w:tblPrEx>
          <w:tblCellMar>
            <w:top w:w="0" w:type="dxa"/>
            <w:left w:w="108" w:type="dxa"/>
            <w:bottom w:w="0" w:type="dxa"/>
            <w:right w:w="108" w:type="dxa"/>
          </w:tblCellMar>
        </w:tblPrEx>
        <w:trPr>
          <w:trHeight w:val="600"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备注：全部</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符合性审查合格，有一项不</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符合性审查不合格。</w:t>
            </w:r>
          </w:p>
        </w:tc>
      </w:tr>
    </w:tbl>
    <w:p>
      <w:pPr>
        <w:rPr>
          <w:rFonts w:hint="eastAsia"/>
        </w:rPr>
      </w:pPr>
      <w:r>
        <w:rPr>
          <w:rFonts w:hint="eastAsia"/>
        </w:rPr>
        <w:br w:type="page"/>
      </w:r>
    </w:p>
    <w:p>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10"/>
        <w:tblW w:w="10080" w:type="dxa"/>
        <w:tblInd w:w="93" w:type="dxa"/>
        <w:tblLayout w:type="fixed"/>
        <w:tblCellMar>
          <w:top w:w="0" w:type="dxa"/>
          <w:left w:w="108" w:type="dxa"/>
          <w:bottom w:w="0" w:type="dxa"/>
          <w:right w:w="108" w:type="dxa"/>
        </w:tblCellMar>
      </w:tblPr>
      <w:tblGrid>
        <w:gridCol w:w="1570"/>
        <w:gridCol w:w="4247"/>
        <w:gridCol w:w="4263"/>
      </w:tblGrid>
      <w:tr>
        <w:tblPrEx>
          <w:tblCellMar>
            <w:top w:w="0" w:type="dxa"/>
            <w:left w:w="108" w:type="dxa"/>
            <w:bottom w:w="0" w:type="dxa"/>
            <w:right w:w="108" w:type="dxa"/>
          </w:tblCellMar>
        </w:tblPrEx>
        <w:trPr>
          <w:trHeight w:val="540" w:hRule="atLeast"/>
        </w:trPr>
        <w:tc>
          <w:tcPr>
            <w:tcW w:w="10080" w:type="dxa"/>
            <w:gridSpan w:val="3"/>
            <w:tcBorders>
              <w:top w:val="nil"/>
              <w:left w:val="nil"/>
              <w:bottom w:val="nil"/>
              <w:right w:val="nil"/>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详细评审表</w:t>
            </w:r>
          </w:p>
        </w:tc>
      </w:tr>
      <w:tr>
        <w:tblPrEx>
          <w:tblCellMar>
            <w:top w:w="0" w:type="dxa"/>
            <w:left w:w="108" w:type="dxa"/>
            <w:bottom w:w="0" w:type="dxa"/>
            <w:right w:w="108" w:type="dxa"/>
          </w:tblCellMar>
        </w:tblPrEx>
        <w:trPr>
          <w:trHeight w:val="450" w:hRule="atLeast"/>
        </w:trPr>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评审内容</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评审因素</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评审分值</w:t>
            </w:r>
          </w:p>
        </w:tc>
      </w:tr>
      <w:tr>
        <w:tblPrEx>
          <w:tblCellMar>
            <w:top w:w="0" w:type="dxa"/>
            <w:left w:w="108" w:type="dxa"/>
            <w:bottom w:w="0" w:type="dxa"/>
            <w:right w:w="108" w:type="dxa"/>
          </w:tblCellMar>
        </w:tblPrEx>
        <w:trPr>
          <w:trHeight w:val="1050"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分值构成</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投标报价：30分                                                                                    监理大纲实施细则：55分                                                                                    其他因素：15分                                                                                                                                                                            </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481"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投标报价（</w:t>
            </w:r>
            <w:r>
              <w:rPr>
                <w:rFonts w:hint="eastAsia" w:ascii="宋体" w:hAnsi="宋体" w:cs="宋体"/>
                <w:color w:val="000000"/>
                <w:kern w:val="0"/>
                <w:sz w:val="20"/>
                <w:szCs w:val="20"/>
                <w:lang w:val="en-US" w:eastAsia="zh-CN"/>
              </w:rPr>
              <w:t>30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1、评标基准价=各投标人报价的算术平均值；</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2、投标报价的偏差率计算公式:偏差率P=100%×(投标人报价-评标基准价)/评标基准价</w:t>
            </w:r>
          </w:p>
          <w:p>
            <w:pPr>
              <w:pStyle w:val="34"/>
              <w:adjustRightInd w:val="0"/>
              <w:snapToGrid w:val="0"/>
              <w:rPr>
                <w:rFonts w:hint="eastAsia" w:ascii="宋体" w:hAnsi="宋体" w:eastAsia="宋体" w:cs="宋体"/>
                <w:color w:val="auto"/>
                <w:sz w:val="21"/>
                <w:highlight w:val="none"/>
              </w:rPr>
            </w:pPr>
            <w:r>
              <w:rPr>
                <w:rFonts w:hint="eastAsia" w:ascii="宋体" w:hAnsi="宋体" w:cs="宋体"/>
                <w:color w:val="000000"/>
                <w:kern w:val="0"/>
                <w:sz w:val="20"/>
                <w:szCs w:val="20"/>
                <w:lang w:val="en-US" w:eastAsia="zh-CN"/>
              </w:rPr>
              <w:t>3、增减分计算办法：</w:t>
            </w:r>
            <w:r>
              <w:rPr>
                <w:rFonts w:hint="eastAsia" w:ascii="宋体" w:hAnsi="宋体" w:eastAsia="宋体" w:cs="宋体"/>
                <w:color w:val="auto"/>
                <w:sz w:val="21"/>
                <w:highlight w:val="none"/>
              </w:rPr>
              <w:t>（1）当P=0时，投标人的投标报价得分为</w:t>
            </w:r>
            <w:r>
              <w:rPr>
                <w:rFonts w:hint="eastAsia" w:ascii="宋体" w:hAnsi="宋体" w:eastAsia="宋体" w:cs="宋体"/>
                <w:color w:val="auto"/>
                <w:sz w:val="21"/>
                <w:highlight w:val="none"/>
                <w:lang w:val="en-US" w:eastAsia="zh-CN"/>
              </w:rPr>
              <w:t>30</w:t>
            </w:r>
            <w:r>
              <w:rPr>
                <w:rFonts w:hint="eastAsia" w:ascii="宋体" w:hAnsi="宋体" w:eastAsia="宋体" w:cs="宋体"/>
                <w:color w:val="auto"/>
                <w:sz w:val="21"/>
                <w:highlight w:val="none"/>
              </w:rPr>
              <w:t>分；</w:t>
            </w:r>
          </w:p>
          <w:p>
            <w:pPr>
              <w:pStyle w:val="34"/>
              <w:adjustRightInd w:val="0"/>
              <w:snapToGrid w:val="0"/>
              <w:rPr>
                <w:rFonts w:hint="eastAsia" w:ascii="宋体" w:hAnsi="宋体" w:eastAsia="宋体" w:cs="宋体"/>
                <w:color w:val="auto"/>
                <w:sz w:val="21"/>
                <w:highlight w:val="none"/>
              </w:rPr>
            </w:pPr>
            <w:r>
              <w:rPr>
                <w:rFonts w:hint="eastAsia" w:ascii="宋体" w:hAnsi="宋体" w:eastAsia="宋体" w:cs="宋体"/>
                <w:color w:val="auto"/>
                <w:sz w:val="21"/>
                <w:highlight w:val="none"/>
              </w:rPr>
              <w:t>（2）当P＜0时，偏差率每有-1%减0.5分，从</w:t>
            </w:r>
            <w:r>
              <w:rPr>
                <w:rFonts w:hint="eastAsia" w:ascii="宋体" w:hAnsi="宋体" w:eastAsia="宋体" w:cs="宋体"/>
                <w:color w:val="auto"/>
                <w:sz w:val="21"/>
                <w:highlight w:val="none"/>
                <w:lang w:val="en-US" w:eastAsia="zh-CN"/>
              </w:rPr>
              <w:t>30</w:t>
            </w:r>
            <w:r>
              <w:rPr>
                <w:rFonts w:hint="eastAsia" w:ascii="宋体" w:hAnsi="宋体" w:eastAsia="宋体" w:cs="宋体"/>
                <w:color w:val="auto"/>
                <w:sz w:val="21"/>
                <w:highlight w:val="none"/>
              </w:rPr>
              <w:t>分减起，减完为止；</w:t>
            </w:r>
          </w:p>
          <w:p>
            <w:pPr>
              <w:widowControl/>
              <w:rPr>
                <w:rFonts w:hint="eastAsia" w:ascii="宋体" w:hAnsi="宋体" w:cs="宋体"/>
                <w:color w:val="000000"/>
                <w:kern w:val="0"/>
                <w:sz w:val="20"/>
                <w:szCs w:val="20"/>
                <w:lang w:val="en-US" w:eastAsia="zh-CN"/>
              </w:rPr>
            </w:pPr>
            <w:r>
              <w:rPr>
                <w:rFonts w:hint="eastAsia" w:ascii="宋体" w:hAnsi="宋体" w:eastAsia="宋体" w:cs="宋体"/>
                <w:color w:val="auto"/>
                <w:sz w:val="21"/>
                <w:highlight w:val="none"/>
              </w:rPr>
              <w:t>（3）当P＞0时，偏差率每有+1%减</w:t>
            </w:r>
            <w:r>
              <w:rPr>
                <w:rFonts w:hint="eastAsia" w:ascii="宋体" w:hAnsi="宋体" w:cs="宋体"/>
                <w:color w:val="auto"/>
                <w:sz w:val="21"/>
                <w:highlight w:val="none"/>
                <w:lang w:val="en-US" w:eastAsia="zh-CN"/>
              </w:rPr>
              <w:t>0.5</w:t>
            </w:r>
            <w:r>
              <w:rPr>
                <w:rFonts w:hint="eastAsia" w:ascii="宋体" w:hAnsi="宋体" w:eastAsia="宋体" w:cs="宋体"/>
                <w:color w:val="auto"/>
                <w:sz w:val="21"/>
                <w:highlight w:val="none"/>
              </w:rPr>
              <w:t>分，从</w:t>
            </w:r>
            <w:r>
              <w:rPr>
                <w:rFonts w:hint="eastAsia" w:ascii="宋体" w:hAnsi="宋体" w:eastAsia="宋体" w:cs="宋体"/>
                <w:color w:val="auto"/>
                <w:sz w:val="21"/>
                <w:highlight w:val="none"/>
                <w:lang w:val="en-US" w:eastAsia="zh-CN"/>
              </w:rPr>
              <w:t>3</w:t>
            </w:r>
            <w:r>
              <w:rPr>
                <w:rFonts w:hint="eastAsia" w:ascii="宋体" w:hAnsi="宋体" w:cs="宋体"/>
                <w:color w:val="auto"/>
                <w:sz w:val="21"/>
                <w:highlight w:val="none"/>
                <w:lang w:val="en-US" w:eastAsia="zh-CN"/>
              </w:rPr>
              <w:t>0</w:t>
            </w:r>
            <w:r>
              <w:rPr>
                <w:rFonts w:hint="eastAsia" w:ascii="宋体" w:hAnsi="宋体" w:eastAsia="宋体" w:cs="宋体"/>
                <w:color w:val="auto"/>
                <w:sz w:val="21"/>
                <w:highlight w:val="none"/>
              </w:rPr>
              <w:t>分减起，减完为止。（注：四舍五入，保留两位小数）</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315"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both"/>
              <w:rPr>
                <w:rFonts w:ascii="宋体" w:hAnsi="宋体" w:cs="宋体"/>
                <w:color w:val="000000"/>
                <w:kern w:val="0"/>
                <w:sz w:val="20"/>
                <w:szCs w:val="20"/>
              </w:rPr>
            </w:pPr>
            <w:r>
              <w:rPr>
                <w:rFonts w:hint="eastAsia" w:ascii="宋体" w:hAnsi="宋体" w:cs="宋体"/>
                <w:color w:val="000000"/>
                <w:kern w:val="0"/>
                <w:sz w:val="20"/>
                <w:szCs w:val="20"/>
                <w:lang w:val="en-US" w:eastAsia="zh-CN"/>
              </w:rPr>
              <w:t>监理大纲实施细则</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55</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（1）质量控制措施：质量控制措施得力，全面、有针对性，应重点对本项目施工相关内容如何监理提出具体、有效的质量控制措施。（7分）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30"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（2）进度控制措施：进度控制措施得力、全面、有针对性。（7分）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（3）造价控制措施：造价控制措施得力、全面、有针对性（7分）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（4）环境保护控制措施：环境保护控制措施得力，针对本项目维修改造降尘、降噪、垃圾清运等内容（7分）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（5）安全生产管理措施：安全管理措施得力，针对维修改造工程的现场实际情况编制合理的安全管理措施监理方案。（7分）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（6）文明施工管理措施：文明施工管理措施得力（7分）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adjustRightInd w:val="0"/>
              <w:jc w:val="left"/>
              <w:textAlignment w:val="baseline"/>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（7）合同、信息管理：合同、信息管理内容明确、管理措施得当。（7分）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优秀5-7分、良好3-4分、一般0-2分</w:t>
            </w:r>
          </w:p>
        </w:tc>
      </w:tr>
      <w:tr>
        <w:tblPrEx>
          <w:tblCellMar>
            <w:top w:w="0" w:type="dxa"/>
            <w:left w:w="108" w:type="dxa"/>
            <w:bottom w:w="0" w:type="dxa"/>
            <w:right w:w="108" w:type="dxa"/>
          </w:tblCellMar>
        </w:tblPrEx>
        <w:trPr>
          <w:trHeight w:val="489"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adjustRightInd w:val="0"/>
              <w:jc w:val="left"/>
              <w:textAlignment w:val="baseline"/>
              <w:rPr>
                <w:rFonts w:hint="eastAsia" w:ascii="宋体" w:hAnsi="宋体" w:eastAsia="Times New Roman" w:cs="宋体"/>
                <w:color w:val="000000"/>
                <w:kern w:val="0"/>
                <w:sz w:val="20"/>
                <w:szCs w:val="20"/>
                <w:lang w:val="en-US" w:eastAsia="zh-CN" w:bidi="ar-SA"/>
              </w:rPr>
            </w:pPr>
            <w:r>
              <w:rPr>
                <w:rFonts w:hint="eastAsia" w:ascii="宋体" w:hAnsi="宋体" w:eastAsia="Times New Roman" w:cs="宋体"/>
                <w:color w:val="000000"/>
                <w:kern w:val="0"/>
                <w:sz w:val="20"/>
                <w:szCs w:val="20"/>
                <w:lang w:val="en-US" w:eastAsia="zh-CN" w:bidi="ar-SA"/>
              </w:rPr>
              <w:t>（8）组织协调内容及措施：组织协调内容及措施全面、有效、明确。（6分）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tblPrEx>
          <w:tblCellMar>
            <w:top w:w="0" w:type="dxa"/>
            <w:left w:w="108" w:type="dxa"/>
            <w:bottom w:w="0" w:type="dxa"/>
            <w:right w:w="108" w:type="dxa"/>
          </w:tblCellMar>
        </w:tblPrEx>
        <w:trPr>
          <w:trHeight w:val="1512"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其他因素</w:t>
            </w:r>
          </w:p>
          <w:p>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15</w:t>
            </w:r>
            <w:r>
              <w:rPr>
                <w:rFonts w:hint="eastAsia" w:ascii="宋体" w:hAnsi="宋体" w:cs="宋体"/>
                <w:color w:val="000000" w:themeColor="text1"/>
                <w:kern w:val="0"/>
                <w:sz w:val="20"/>
                <w:szCs w:val="20"/>
                <w:highlight w:val="none"/>
                <w14:textFill>
                  <w14:solidFill>
                    <w14:schemeClr w14:val="tx1"/>
                  </w14:solidFill>
                </w14:textFill>
              </w:rPr>
              <w:t>分）</w:t>
            </w: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w:t>
            </w:r>
            <w:r>
              <w:rPr>
                <w:rFonts w:hint="eastAsia" w:ascii="宋体" w:hAnsi="宋体" w:cs="宋体"/>
                <w:color w:val="000000" w:themeColor="text1"/>
                <w:kern w:val="0"/>
                <w:sz w:val="20"/>
                <w:szCs w:val="20"/>
                <w:highlight w:val="none"/>
                <w:lang w:val="en-US" w:eastAsia="zh-CN"/>
                <w14:textFill>
                  <w14:solidFill>
                    <w14:schemeClr w14:val="tx1"/>
                  </w14:solidFill>
                </w14:textFill>
              </w:rPr>
              <w:t>总监理工程师</w:t>
            </w:r>
            <w:r>
              <w:rPr>
                <w:rFonts w:hint="eastAsia" w:ascii="宋体" w:hAnsi="宋体" w:cs="宋体"/>
                <w:color w:val="000000" w:themeColor="text1"/>
                <w:kern w:val="0"/>
                <w:sz w:val="20"/>
                <w:szCs w:val="20"/>
                <w:highlight w:val="none"/>
                <w:lang w:eastAsia="zh-CN"/>
                <w14:textFill>
                  <w14:solidFill>
                    <w14:schemeClr w14:val="tx1"/>
                  </w14:solidFill>
                </w14:textFill>
              </w:rPr>
              <w:t>业绩（</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p>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lang w:eastAsia="zh-CN"/>
              </w:rPr>
              <w:t>0</w:t>
            </w:r>
            <w:r>
              <w:rPr>
                <w:rFonts w:hint="eastAsia" w:ascii="宋体" w:hAnsi="宋体" w:cs="宋体"/>
                <w:color w:val="000000"/>
                <w:kern w:val="0"/>
                <w:sz w:val="20"/>
                <w:szCs w:val="20"/>
                <w:lang w:val="en-US" w:eastAsia="zh-CN"/>
              </w:rPr>
              <w:t>20</w:t>
            </w:r>
            <w:r>
              <w:rPr>
                <w:rFonts w:hint="eastAsia" w:ascii="宋体" w:hAnsi="宋体" w:cs="宋体"/>
                <w:color w:val="000000"/>
                <w:kern w:val="0"/>
                <w:sz w:val="20"/>
                <w:szCs w:val="20"/>
                <w:lang w:eastAsia="zh-CN"/>
              </w:rPr>
              <w:t>年至今（以签订合同日期为准，仅指其本人担任过项目总监理工程师的业绩，不限定当时所注册的单位）承担过房屋建筑工程或房屋建筑维修改造工程监理业绩，每有一项得</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lang w:eastAsia="zh-CN"/>
              </w:rPr>
              <w:t>分；本项最高得</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lang w:eastAsia="zh-CN"/>
              </w:rPr>
              <w:t>分（</w:t>
            </w:r>
            <w:r>
              <w:rPr>
                <w:rFonts w:hint="eastAsia" w:ascii="宋体" w:hAnsi="宋体" w:cs="宋体"/>
                <w:color w:val="000000"/>
                <w:kern w:val="0"/>
                <w:sz w:val="20"/>
                <w:szCs w:val="20"/>
              </w:rPr>
              <w:t>查验</w:t>
            </w:r>
            <w:r>
              <w:rPr>
                <w:rFonts w:hint="eastAsia" w:ascii="宋体" w:hAnsi="宋体" w:cs="宋体"/>
                <w:color w:val="000000"/>
                <w:kern w:val="0"/>
                <w:sz w:val="20"/>
                <w:szCs w:val="20"/>
                <w:lang w:eastAsia="zh-CN"/>
              </w:rPr>
              <w:t>比选文件合同复印件加盖单位公章，合同不体现</w:t>
            </w:r>
            <w:r>
              <w:rPr>
                <w:rFonts w:hint="eastAsia" w:ascii="宋体" w:hAnsi="宋体" w:cs="宋体"/>
                <w:color w:val="000000" w:themeColor="text1"/>
                <w:kern w:val="0"/>
                <w:sz w:val="20"/>
                <w:szCs w:val="20"/>
                <w:highlight w:val="none"/>
                <w:lang w:val="en-US" w:eastAsia="zh-CN"/>
                <w14:textFill>
                  <w14:solidFill>
                    <w14:schemeClr w14:val="tx1"/>
                  </w14:solidFill>
                </w14:textFill>
              </w:rPr>
              <w:t>总监理工程师</w:t>
            </w:r>
            <w:r>
              <w:rPr>
                <w:rFonts w:hint="eastAsia" w:ascii="宋体" w:hAnsi="宋体" w:cs="宋体"/>
                <w:color w:val="000000"/>
                <w:kern w:val="0"/>
                <w:sz w:val="20"/>
                <w:szCs w:val="20"/>
                <w:lang w:eastAsia="zh-CN"/>
              </w:rPr>
              <w:t>的，需提供第三方证明材料，</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p>
        </w:tc>
      </w:tr>
      <w:tr>
        <w:tblPrEx>
          <w:tblCellMar>
            <w:top w:w="0" w:type="dxa"/>
            <w:left w:w="108" w:type="dxa"/>
            <w:bottom w:w="0" w:type="dxa"/>
            <w:right w:w="108" w:type="dxa"/>
          </w:tblCellMar>
        </w:tblPrEx>
        <w:trPr>
          <w:trHeight w:val="486" w:hRule="atLeast"/>
        </w:trPr>
        <w:tc>
          <w:tcPr>
            <w:tcW w:w="15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其他</w:t>
            </w:r>
            <w:r>
              <w:rPr>
                <w:rFonts w:hint="eastAsia" w:ascii="宋体" w:hAnsi="宋体" w:cs="宋体"/>
                <w:color w:val="000000" w:themeColor="text1"/>
                <w:kern w:val="0"/>
                <w:sz w:val="20"/>
                <w:szCs w:val="20"/>
                <w:highlight w:val="none"/>
                <w:lang w:eastAsia="zh-CN"/>
                <w14:textFill>
                  <w14:solidFill>
                    <w14:schemeClr w14:val="tx1"/>
                  </w14:solidFill>
                </w14:textFill>
              </w:rPr>
              <w:t>监理人员（</w:t>
            </w:r>
            <w:r>
              <w:rPr>
                <w:rFonts w:hint="eastAsia" w:ascii="宋体" w:hAnsi="宋体" w:cs="宋体"/>
                <w:color w:val="000000" w:themeColor="text1"/>
                <w:kern w:val="0"/>
                <w:sz w:val="20"/>
                <w:szCs w:val="20"/>
                <w:highlight w:val="none"/>
                <w:lang w:val="en-US" w:eastAsia="zh-CN"/>
                <w14:textFill>
                  <w14:solidFill>
                    <w14:schemeClr w14:val="tx1"/>
                  </w14:solidFill>
                </w14:textFill>
              </w:rPr>
              <w:t>4分</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w:t>
            </w:r>
          </w:p>
        </w:tc>
        <w:tc>
          <w:tcPr>
            <w:tcW w:w="42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eastAsia="zh-CN"/>
              </w:rPr>
            </w:pPr>
            <w:r>
              <w:rPr>
                <w:rFonts w:hint="eastAsia" w:ascii="宋体" w:hAnsi="宋体" w:cs="宋体"/>
                <w:color w:val="000000"/>
                <w:kern w:val="0"/>
                <w:sz w:val="20"/>
                <w:szCs w:val="20"/>
                <w:lang w:eastAsia="zh-CN"/>
              </w:rPr>
              <w:t>配备的专业监理人员中，每有1人</w:t>
            </w:r>
            <w:r>
              <w:rPr>
                <w:rFonts w:hint="eastAsia" w:ascii="宋体" w:hAnsi="宋体" w:cs="宋体"/>
                <w:color w:val="000000"/>
                <w:kern w:val="0"/>
                <w:sz w:val="20"/>
                <w:szCs w:val="20"/>
                <w:lang w:val="en-US" w:eastAsia="zh-CN"/>
              </w:rPr>
              <w:t>具备</w:t>
            </w:r>
            <w:r>
              <w:rPr>
                <w:rFonts w:hint="eastAsia" w:ascii="宋体" w:hAnsi="宋体" w:cs="宋体"/>
                <w:color w:val="000000"/>
                <w:kern w:val="0"/>
                <w:sz w:val="21"/>
                <w:szCs w:val="21"/>
                <w:lang w:val="en-US" w:eastAsia="zh-CN"/>
              </w:rPr>
              <w:t>全国注册监理工程师职业资格或</w:t>
            </w:r>
            <w:r>
              <w:rPr>
                <w:rFonts w:hint="eastAsia" w:ascii="宋体" w:hAnsi="宋体" w:cs="宋体"/>
                <w:color w:val="000000"/>
                <w:kern w:val="0"/>
                <w:sz w:val="20"/>
                <w:szCs w:val="20"/>
                <w:lang w:val="en-US" w:eastAsia="zh-CN"/>
              </w:rPr>
              <w:t>高</w:t>
            </w:r>
            <w:r>
              <w:rPr>
                <w:rFonts w:hint="eastAsia" w:ascii="宋体" w:hAnsi="宋体" w:cs="宋体"/>
                <w:color w:val="000000"/>
                <w:kern w:val="0"/>
                <w:sz w:val="20"/>
                <w:szCs w:val="20"/>
                <w:lang w:eastAsia="zh-CN"/>
              </w:rPr>
              <w:t>级职称（</w:t>
            </w:r>
            <w:r>
              <w:rPr>
                <w:rFonts w:hint="eastAsia" w:ascii="宋体" w:hAnsi="宋体" w:cs="宋体"/>
                <w:color w:val="000000"/>
                <w:kern w:val="0"/>
                <w:sz w:val="20"/>
                <w:szCs w:val="20"/>
                <w:lang w:val="en-US" w:eastAsia="zh-CN"/>
              </w:rPr>
              <w:t>土建、水暖或电气专业）</w:t>
            </w:r>
            <w:r>
              <w:rPr>
                <w:rFonts w:hint="eastAsia" w:ascii="宋体" w:hAnsi="宋体" w:cs="宋体"/>
                <w:color w:val="000000"/>
                <w:kern w:val="0"/>
                <w:sz w:val="20"/>
                <w:szCs w:val="20"/>
                <w:lang w:eastAsia="zh-CN"/>
              </w:rPr>
              <w:t>得</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lang w:eastAsia="zh-CN"/>
              </w:rPr>
              <w:t>分，本项最高得</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lang w:eastAsia="zh-CN"/>
              </w:rPr>
              <w:t>分</w:t>
            </w:r>
            <w:r>
              <w:rPr>
                <w:rFonts w:hint="eastAsia" w:ascii="宋体" w:hAnsi="宋体" w:cs="宋体"/>
                <w:color w:val="000000"/>
                <w:kern w:val="0"/>
                <w:sz w:val="20"/>
                <w:szCs w:val="20"/>
                <w:lang w:val="en-US" w:eastAsia="zh-CN"/>
              </w:rPr>
              <w:t>.（查验比选文件中职称证书复印件加盖单位公章）。</w:t>
            </w:r>
          </w:p>
        </w:tc>
      </w:tr>
      <w:tr>
        <w:tblPrEx>
          <w:tblCellMar>
            <w:top w:w="0" w:type="dxa"/>
            <w:left w:w="108" w:type="dxa"/>
            <w:bottom w:w="0" w:type="dxa"/>
            <w:right w:w="108" w:type="dxa"/>
          </w:tblCellMar>
        </w:tblPrEx>
        <w:trPr>
          <w:trHeight w:val="486"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3</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获奖情况（</w:t>
            </w:r>
            <w:r>
              <w:rPr>
                <w:rFonts w:hint="eastAsia" w:ascii="宋体" w:hAnsi="宋体" w:cs="宋体"/>
                <w:color w:val="000000" w:themeColor="text1"/>
                <w:kern w:val="0"/>
                <w:sz w:val="20"/>
                <w:szCs w:val="20"/>
                <w:highlight w:val="none"/>
                <w:lang w:val="en-US" w:eastAsia="zh-CN"/>
                <w14:textFill>
                  <w14:solidFill>
                    <w14:schemeClr w14:val="tx1"/>
                  </w14:solidFill>
                </w14:textFill>
              </w:rPr>
              <w:t>1分</w:t>
            </w:r>
            <w:bookmarkStart w:id="0" w:name="_GoBack"/>
            <w:bookmarkEnd w:id="0"/>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2020年至今，获市级（含）以上安全文明标准化示范工地的</w:t>
            </w:r>
            <w:r>
              <w:rPr>
                <w:rFonts w:hint="eastAsia" w:ascii="宋体" w:hAnsi="宋体" w:cs="宋体"/>
                <w:color w:val="000000"/>
                <w:kern w:val="0"/>
                <w:sz w:val="20"/>
                <w:szCs w:val="20"/>
              </w:rPr>
              <w:t>得</w:t>
            </w:r>
            <w:r>
              <w:rPr>
                <w:rFonts w:hint="eastAsia" w:ascii="宋体" w:hAnsi="宋体" w:cs="宋体"/>
                <w:color w:val="000000"/>
                <w:kern w:val="0"/>
                <w:sz w:val="20"/>
                <w:szCs w:val="20"/>
                <w:lang w:val="en-US" w:eastAsia="zh-CN"/>
              </w:rPr>
              <w:t>1</w:t>
            </w:r>
            <w:r>
              <w:rPr>
                <w:rFonts w:hint="eastAsia" w:ascii="宋体" w:hAnsi="宋体" w:cs="宋体"/>
                <w:color w:val="000000"/>
                <w:kern w:val="0"/>
                <w:sz w:val="20"/>
                <w:szCs w:val="20"/>
              </w:rPr>
              <w:t>分。（</w:t>
            </w:r>
            <w:r>
              <w:rPr>
                <w:rFonts w:hint="eastAsia" w:ascii="宋体" w:hAnsi="宋体" w:cs="宋体"/>
                <w:color w:val="000000"/>
                <w:kern w:val="0"/>
                <w:sz w:val="20"/>
                <w:szCs w:val="20"/>
                <w:lang w:eastAsia="zh-CN"/>
              </w:rPr>
              <w:t>查验投标文件</w:t>
            </w:r>
            <w:r>
              <w:rPr>
                <w:rFonts w:hint="eastAsia" w:ascii="宋体" w:hAnsi="宋体" w:cs="宋体"/>
                <w:color w:val="000000"/>
                <w:kern w:val="0"/>
                <w:sz w:val="20"/>
                <w:szCs w:val="20"/>
              </w:rPr>
              <w:t>复印件加盖投标单位公章）</w:t>
            </w:r>
          </w:p>
        </w:tc>
      </w:tr>
      <w:tr>
        <w:tblPrEx>
          <w:tblCellMar>
            <w:top w:w="0" w:type="dxa"/>
            <w:left w:w="108" w:type="dxa"/>
            <w:bottom w:w="0" w:type="dxa"/>
            <w:right w:w="108" w:type="dxa"/>
          </w:tblCellMar>
        </w:tblPrEx>
        <w:trPr>
          <w:trHeight w:val="390" w:hRule="atLeast"/>
        </w:trPr>
        <w:tc>
          <w:tcPr>
            <w:tcW w:w="1570" w:type="dxa"/>
            <w:vMerge w:val="continue"/>
            <w:tcBorders>
              <w:top w:val="nil"/>
              <w:left w:val="single" w:color="auto" w:sz="4" w:space="0"/>
              <w:bottom w:val="nil"/>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4</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管理体系认证（</w:t>
            </w:r>
            <w:r>
              <w:rPr>
                <w:rFonts w:hint="eastAsia" w:ascii="宋体" w:hAnsi="宋体" w:cs="宋体"/>
                <w:color w:val="000000" w:themeColor="text1"/>
                <w:kern w:val="0"/>
                <w:sz w:val="20"/>
                <w:szCs w:val="20"/>
                <w:highlight w:val="none"/>
                <w:lang w:val="en-US" w:eastAsia="zh-CN"/>
                <w14:textFill>
                  <w14:solidFill>
                    <w14:schemeClr w14:val="tx1"/>
                  </w14:solidFill>
                </w14:textFill>
              </w:rPr>
              <w:t>2分</w:t>
            </w:r>
            <w:r>
              <w:rPr>
                <w:rFonts w:hint="eastAsia" w:ascii="宋体" w:hAnsi="宋体" w:cs="宋体"/>
                <w:color w:val="000000" w:themeColor="text1"/>
                <w:kern w:val="0"/>
                <w:sz w:val="20"/>
                <w:szCs w:val="20"/>
                <w:highlight w:val="none"/>
                <w:lang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具有ISO9001质量管理体系认证（且在有效期内）得2分.</w:t>
            </w:r>
          </w:p>
        </w:tc>
      </w:tr>
      <w:tr>
        <w:tblPrEx>
          <w:tblCellMar>
            <w:top w:w="0" w:type="dxa"/>
            <w:left w:w="108" w:type="dxa"/>
            <w:bottom w:w="0" w:type="dxa"/>
            <w:right w:w="108" w:type="dxa"/>
          </w:tblCellMar>
        </w:tblPrEx>
        <w:trPr>
          <w:trHeight w:val="390"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5</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olor w:val="auto"/>
                <w:szCs w:val="21"/>
                <w:highlight w:val="none"/>
              </w:rPr>
              <w:t>投标人业绩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6分</w:t>
            </w:r>
            <w:r>
              <w:rPr>
                <w:rFonts w:hint="eastAsia" w:ascii="宋体" w:hAnsi="宋体"/>
                <w:color w:val="auto"/>
                <w:szCs w:val="21"/>
                <w:highlight w:val="none"/>
                <w:lang w:eastAsia="zh-CN"/>
              </w:rPr>
              <w:t>）</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在满足招标文件初步评审的基础上，每增加一项（2020年至今，以签订合同日期为准）20万元（含）以上的房屋建筑工程或房屋建筑维修改造工程监理业绩得3分，本项最高得6分。（查验比选文件合同复印件加盖单位公章，合同不体现项目金额的，需提供第三方证明材料，总监理工程师业绩与投标人业绩不重复加分，当某一业绩同属于总监理工程师和投标人时，只以投标人的业绩计取。监理合同价为费率的，提供招标出具的第三方证明材料）。</w:t>
            </w:r>
          </w:p>
        </w:tc>
      </w:tr>
    </w:tbl>
    <w:p>
      <w:pPr>
        <w:rPr>
          <w:rFonts w:hint="eastAsia"/>
          <w:b/>
          <w:bCs/>
          <w:sz w:val="20"/>
          <w:szCs w:val="20"/>
          <w:lang w:val="en-US" w:eastAsia="zh-CN"/>
        </w:rPr>
      </w:pPr>
    </w:p>
    <w:p>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根据排序，得分最高的投标人作为本项目的全过程造价咨询服务机构并与我中心签订合同。</w:t>
      </w: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rPr>
          <w:rFonts w:hint="eastAsia" w:ascii="宋体" w:hAnsi="宋体"/>
          <w:b/>
          <w:sz w:val="24"/>
          <w:lang w:eastAsia="zh-CN"/>
        </w:rPr>
      </w:pPr>
    </w:p>
    <w:p>
      <w:pPr>
        <w:pStyle w:val="2"/>
        <w:ind w:left="0" w:leftChars="0" w:firstLine="0" w:firstLineChars="0"/>
        <w:rPr>
          <w:rFonts w:hint="eastAsia" w:ascii="宋体" w:hAnsi="宋体"/>
          <w:b/>
          <w:sz w:val="24"/>
          <w:lang w:eastAsia="zh-CN"/>
        </w:rPr>
      </w:pPr>
    </w:p>
    <w:sectPr>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TdmYTBjZmY1M2ZiMTZmZGVkOTc5ZTgzMmUxNGQ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E2E05"/>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A745DE"/>
    <w:rsid w:val="02F736D5"/>
    <w:rsid w:val="03301278"/>
    <w:rsid w:val="03995A6D"/>
    <w:rsid w:val="03EC5633"/>
    <w:rsid w:val="04E47A17"/>
    <w:rsid w:val="05A9018D"/>
    <w:rsid w:val="05D43B35"/>
    <w:rsid w:val="06AF1515"/>
    <w:rsid w:val="07472E25"/>
    <w:rsid w:val="07DF4970"/>
    <w:rsid w:val="07EA73C5"/>
    <w:rsid w:val="083C3E08"/>
    <w:rsid w:val="086752B3"/>
    <w:rsid w:val="0872235B"/>
    <w:rsid w:val="094D688E"/>
    <w:rsid w:val="09E8756C"/>
    <w:rsid w:val="0A2B151B"/>
    <w:rsid w:val="0B0D430E"/>
    <w:rsid w:val="0B7F16DF"/>
    <w:rsid w:val="0BBC0FA3"/>
    <w:rsid w:val="0C626212"/>
    <w:rsid w:val="0D780A9E"/>
    <w:rsid w:val="0D9910B0"/>
    <w:rsid w:val="0EAA5270"/>
    <w:rsid w:val="0EE73C05"/>
    <w:rsid w:val="0FE01D5B"/>
    <w:rsid w:val="110A3474"/>
    <w:rsid w:val="11341EA7"/>
    <w:rsid w:val="11E7459E"/>
    <w:rsid w:val="124E6C0B"/>
    <w:rsid w:val="12FF02C4"/>
    <w:rsid w:val="132B04D6"/>
    <w:rsid w:val="144D1BB8"/>
    <w:rsid w:val="144D579D"/>
    <w:rsid w:val="145F1965"/>
    <w:rsid w:val="14E15A4F"/>
    <w:rsid w:val="14EB0D8E"/>
    <w:rsid w:val="151F6992"/>
    <w:rsid w:val="153825F0"/>
    <w:rsid w:val="155D253C"/>
    <w:rsid w:val="15BD6592"/>
    <w:rsid w:val="16F24C74"/>
    <w:rsid w:val="16F86A93"/>
    <w:rsid w:val="176754FB"/>
    <w:rsid w:val="17F469C7"/>
    <w:rsid w:val="186E173B"/>
    <w:rsid w:val="19105622"/>
    <w:rsid w:val="195029F5"/>
    <w:rsid w:val="19917927"/>
    <w:rsid w:val="19E04DC9"/>
    <w:rsid w:val="1A3874FC"/>
    <w:rsid w:val="1B20131D"/>
    <w:rsid w:val="1B4057E3"/>
    <w:rsid w:val="1BF725E3"/>
    <w:rsid w:val="1C2473A2"/>
    <w:rsid w:val="1D240BBE"/>
    <w:rsid w:val="1D351539"/>
    <w:rsid w:val="1D845CE9"/>
    <w:rsid w:val="1D866982"/>
    <w:rsid w:val="1DCB0EC0"/>
    <w:rsid w:val="1E167054"/>
    <w:rsid w:val="1E4E6C15"/>
    <w:rsid w:val="1EB569EA"/>
    <w:rsid w:val="1F5A661E"/>
    <w:rsid w:val="1FE93EF2"/>
    <w:rsid w:val="20B94664"/>
    <w:rsid w:val="20E06AFB"/>
    <w:rsid w:val="21395B1D"/>
    <w:rsid w:val="21B573DF"/>
    <w:rsid w:val="2229015B"/>
    <w:rsid w:val="22567BFC"/>
    <w:rsid w:val="22934484"/>
    <w:rsid w:val="22955210"/>
    <w:rsid w:val="234971CB"/>
    <w:rsid w:val="23F16B0C"/>
    <w:rsid w:val="24AD27B1"/>
    <w:rsid w:val="24C244B8"/>
    <w:rsid w:val="25420F9D"/>
    <w:rsid w:val="260F2F4A"/>
    <w:rsid w:val="26312FF5"/>
    <w:rsid w:val="27670C43"/>
    <w:rsid w:val="281C74E0"/>
    <w:rsid w:val="28227487"/>
    <w:rsid w:val="293D5C68"/>
    <w:rsid w:val="29BA4CCB"/>
    <w:rsid w:val="2A3E6B37"/>
    <w:rsid w:val="2A515C6C"/>
    <w:rsid w:val="2A72753E"/>
    <w:rsid w:val="2B3F1219"/>
    <w:rsid w:val="2B4B77A9"/>
    <w:rsid w:val="2BD72012"/>
    <w:rsid w:val="2BEF3496"/>
    <w:rsid w:val="2C7F33F4"/>
    <w:rsid w:val="2CBE15DF"/>
    <w:rsid w:val="2DC94B4A"/>
    <w:rsid w:val="2E1E1E9D"/>
    <w:rsid w:val="2EDC4D96"/>
    <w:rsid w:val="309051B6"/>
    <w:rsid w:val="30BB178B"/>
    <w:rsid w:val="31846257"/>
    <w:rsid w:val="31C705FE"/>
    <w:rsid w:val="324B7372"/>
    <w:rsid w:val="324F1FD6"/>
    <w:rsid w:val="32A40572"/>
    <w:rsid w:val="341D6C13"/>
    <w:rsid w:val="3483778D"/>
    <w:rsid w:val="3485544C"/>
    <w:rsid w:val="349B4F01"/>
    <w:rsid w:val="34B76D87"/>
    <w:rsid w:val="34CA10CC"/>
    <w:rsid w:val="35135038"/>
    <w:rsid w:val="358932A9"/>
    <w:rsid w:val="35C91A6F"/>
    <w:rsid w:val="364423AB"/>
    <w:rsid w:val="368E25AF"/>
    <w:rsid w:val="374241B1"/>
    <w:rsid w:val="37A17DFB"/>
    <w:rsid w:val="38246846"/>
    <w:rsid w:val="396B18F3"/>
    <w:rsid w:val="39C16CA5"/>
    <w:rsid w:val="3A4024B3"/>
    <w:rsid w:val="3A62773C"/>
    <w:rsid w:val="3AED6192"/>
    <w:rsid w:val="3B52630A"/>
    <w:rsid w:val="3BA61806"/>
    <w:rsid w:val="3BC525E8"/>
    <w:rsid w:val="3C0C7C67"/>
    <w:rsid w:val="3CDB0371"/>
    <w:rsid w:val="3CE14E72"/>
    <w:rsid w:val="3DE30837"/>
    <w:rsid w:val="3DEC6C1A"/>
    <w:rsid w:val="3E5645AE"/>
    <w:rsid w:val="3F1B617E"/>
    <w:rsid w:val="3F6B49E7"/>
    <w:rsid w:val="3F8F4ECC"/>
    <w:rsid w:val="407713CF"/>
    <w:rsid w:val="411C0F21"/>
    <w:rsid w:val="41B12925"/>
    <w:rsid w:val="41D25675"/>
    <w:rsid w:val="420B72FB"/>
    <w:rsid w:val="422E4A30"/>
    <w:rsid w:val="427E3424"/>
    <w:rsid w:val="44585060"/>
    <w:rsid w:val="45DC747E"/>
    <w:rsid w:val="462B5AED"/>
    <w:rsid w:val="4641218F"/>
    <w:rsid w:val="46824B6B"/>
    <w:rsid w:val="46A05DFB"/>
    <w:rsid w:val="486C41D0"/>
    <w:rsid w:val="491A7249"/>
    <w:rsid w:val="4A433654"/>
    <w:rsid w:val="4B1B6F3D"/>
    <w:rsid w:val="4B97205D"/>
    <w:rsid w:val="4CA22CD2"/>
    <w:rsid w:val="4CB844C2"/>
    <w:rsid w:val="4CD22D8F"/>
    <w:rsid w:val="4DF87E62"/>
    <w:rsid w:val="4E557307"/>
    <w:rsid w:val="4ED15FDA"/>
    <w:rsid w:val="4F693909"/>
    <w:rsid w:val="4FE22BBF"/>
    <w:rsid w:val="504F2826"/>
    <w:rsid w:val="506D51E4"/>
    <w:rsid w:val="50842675"/>
    <w:rsid w:val="50E62CF2"/>
    <w:rsid w:val="50F61DA8"/>
    <w:rsid w:val="513673A4"/>
    <w:rsid w:val="52162A82"/>
    <w:rsid w:val="522D654A"/>
    <w:rsid w:val="52452488"/>
    <w:rsid w:val="52F17474"/>
    <w:rsid w:val="539775BC"/>
    <w:rsid w:val="541500FE"/>
    <w:rsid w:val="542B1C64"/>
    <w:rsid w:val="544304DB"/>
    <w:rsid w:val="545D4B80"/>
    <w:rsid w:val="54733718"/>
    <w:rsid w:val="54C539E4"/>
    <w:rsid w:val="552767BC"/>
    <w:rsid w:val="554D5E9C"/>
    <w:rsid w:val="55F77691"/>
    <w:rsid w:val="57880077"/>
    <w:rsid w:val="57D30508"/>
    <w:rsid w:val="59223EB6"/>
    <w:rsid w:val="592B2BE4"/>
    <w:rsid w:val="59450CF0"/>
    <w:rsid w:val="59CC2262"/>
    <w:rsid w:val="5A20770E"/>
    <w:rsid w:val="5A3F6F0A"/>
    <w:rsid w:val="5ACD5E2C"/>
    <w:rsid w:val="5ADB5852"/>
    <w:rsid w:val="5B9D46F0"/>
    <w:rsid w:val="5BBA1DA4"/>
    <w:rsid w:val="5D5548F7"/>
    <w:rsid w:val="5D992979"/>
    <w:rsid w:val="5E3621C1"/>
    <w:rsid w:val="5E782277"/>
    <w:rsid w:val="5E917E2C"/>
    <w:rsid w:val="5F283092"/>
    <w:rsid w:val="5FD67112"/>
    <w:rsid w:val="5FE75693"/>
    <w:rsid w:val="603D1753"/>
    <w:rsid w:val="62232491"/>
    <w:rsid w:val="636D59F7"/>
    <w:rsid w:val="64C56F22"/>
    <w:rsid w:val="67811C48"/>
    <w:rsid w:val="67A9539F"/>
    <w:rsid w:val="67C5016E"/>
    <w:rsid w:val="689F385E"/>
    <w:rsid w:val="68AC26C1"/>
    <w:rsid w:val="69DC785F"/>
    <w:rsid w:val="69FF4F50"/>
    <w:rsid w:val="6A1009F8"/>
    <w:rsid w:val="6A5808A5"/>
    <w:rsid w:val="6C0014B3"/>
    <w:rsid w:val="6C6C7D24"/>
    <w:rsid w:val="6CAA2CB7"/>
    <w:rsid w:val="6EF40649"/>
    <w:rsid w:val="6F317710"/>
    <w:rsid w:val="70F42308"/>
    <w:rsid w:val="710042F6"/>
    <w:rsid w:val="714B5350"/>
    <w:rsid w:val="71C04BA8"/>
    <w:rsid w:val="724C19C2"/>
    <w:rsid w:val="72740561"/>
    <w:rsid w:val="72A96818"/>
    <w:rsid w:val="73CB395E"/>
    <w:rsid w:val="74370701"/>
    <w:rsid w:val="748C7224"/>
    <w:rsid w:val="748F7EBB"/>
    <w:rsid w:val="77705C1A"/>
    <w:rsid w:val="77783405"/>
    <w:rsid w:val="77B738D2"/>
    <w:rsid w:val="77DC6411"/>
    <w:rsid w:val="7846008F"/>
    <w:rsid w:val="7A7C32C7"/>
    <w:rsid w:val="7A9167A5"/>
    <w:rsid w:val="7A9937C8"/>
    <w:rsid w:val="7B146C82"/>
    <w:rsid w:val="7B507329"/>
    <w:rsid w:val="7C074040"/>
    <w:rsid w:val="7CC27F6F"/>
    <w:rsid w:val="7CF92428"/>
    <w:rsid w:val="7DE20C36"/>
    <w:rsid w:val="7ED34E22"/>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0"/>
    <w:pPr>
      <w:keepNext/>
      <w:keepLines/>
      <w:spacing w:line="360" w:lineRule="auto"/>
      <w:outlineLvl w:val="0"/>
    </w:pPr>
    <w:rPr>
      <w:b/>
      <w:bCs/>
      <w:kern w:val="44"/>
      <w:sz w:val="32"/>
      <w:szCs w:val="44"/>
    </w:rPr>
  </w:style>
  <w:style w:type="paragraph" w:styleId="4">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rFonts w:ascii="Times New Roman" w:hAnsi="Times New Roman"/>
    </w:rPr>
  </w:style>
  <w:style w:type="paragraph" w:styleId="5">
    <w:name w:val="Plain Text"/>
    <w:basedOn w:val="1"/>
    <w:qFormat/>
    <w:uiPriority w:val="0"/>
    <w:rPr>
      <w:rFonts w:ascii="Courier New" w:hAnsi="Courier New"/>
      <w:szCs w:val="20"/>
    </w:rPr>
  </w:style>
  <w:style w:type="paragraph" w:styleId="6">
    <w:name w:val="Balloon Text"/>
    <w:basedOn w:val="1"/>
    <w:link w:val="21"/>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2"/>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标题 1 Char"/>
    <w:basedOn w:val="12"/>
    <w:link w:val="3"/>
    <w:qFormat/>
    <w:uiPriority w:val="0"/>
    <w:rPr>
      <w:b/>
      <w:bCs/>
      <w:kern w:val="44"/>
      <w:sz w:val="32"/>
      <w:szCs w:val="44"/>
    </w:rPr>
  </w:style>
  <w:style w:type="character" w:customStyle="1" w:styleId="15">
    <w:name w:val="列出段落 Char"/>
    <w:link w:val="16"/>
    <w:qFormat/>
    <w:uiPriority w:val="0"/>
    <w:rPr>
      <w:kern w:val="2"/>
      <w:sz w:val="21"/>
    </w:rPr>
  </w:style>
  <w:style w:type="paragraph" w:customStyle="1" w:styleId="16">
    <w:name w:val="List Paragraph"/>
    <w:basedOn w:val="1"/>
    <w:link w:val="15"/>
    <w:qFormat/>
    <w:uiPriority w:val="0"/>
    <w:pPr>
      <w:ind w:firstLine="420" w:firstLineChars="200"/>
    </w:pPr>
    <w:rPr>
      <w:szCs w:val="20"/>
    </w:rPr>
  </w:style>
  <w:style w:type="character" w:customStyle="1" w:styleId="17">
    <w:name w:val="页眉 Char"/>
    <w:link w:val="8"/>
    <w:qFormat/>
    <w:uiPriority w:val="99"/>
    <w:rPr>
      <w:kern w:val="2"/>
      <w:sz w:val="18"/>
      <w:szCs w:val="18"/>
    </w:rPr>
  </w:style>
  <w:style w:type="character" w:customStyle="1" w:styleId="18">
    <w:name w:val="页眉 Char1"/>
    <w:basedOn w:val="12"/>
    <w:qFormat/>
    <w:uiPriority w:val="0"/>
    <w:rPr>
      <w:kern w:val="2"/>
      <w:sz w:val="18"/>
      <w:szCs w:val="18"/>
    </w:rPr>
  </w:style>
  <w:style w:type="character" w:customStyle="1" w:styleId="19">
    <w:name w:val="页脚 Char"/>
    <w:basedOn w:val="12"/>
    <w:link w:val="7"/>
    <w:qFormat/>
    <w:uiPriority w:val="99"/>
    <w:rPr>
      <w:kern w:val="2"/>
      <w:sz w:val="18"/>
      <w:szCs w:val="18"/>
    </w:rPr>
  </w:style>
  <w:style w:type="paragraph" w:customStyle="1" w:styleId="20">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
    <w:name w:val="批注框文本 Char"/>
    <w:basedOn w:val="12"/>
    <w:link w:val="6"/>
    <w:qFormat/>
    <w:uiPriority w:val="0"/>
    <w:rPr>
      <w:kern w:val="2"/>
      <w:sz w:val="18"/>
      <w:szCs w:val="18"/>
    </w:rPr>
  </w:style>
  <w:style w:type="character" w:customStyle="1" w:styleId="22">
    <w:name w:val="副标题 Char"/>
    <w:basedOn w:val="12"/>
    <w:link w:val="9"/>
    <w:qFormat/>
    <w:uiPriority w:val="0"/>
    <w:rPr>
      <w:rFonts w:asciiTheme="majorHAnsi" w:hAnsiTheme="majorHAnsi" w:cstheme="majorBidi"/>
      <w:b/>
      <w:bCs/>
      <w:kern w:val="28"/>
      <w:sz w:val="32"/>
      <w:szCs w:val="32"/>
    </w:rPr>
  </w:style>
  <w:style w:type="paragraph" w:customStyle="1" w:styleId="23">
    <w:name w:val="Normal_3"/>
    <w:qFormat/>
    <w:uiPriority w:val="0"/>
    <w:rPr>
      <w:rFonts w:ascii="Times New Roman" w:hAnsi="Times New Roman" w:eastAsia="宋体" w:cs="Times New Roman"/>
      <w:sz w:val="24"/>
      <w:szCs w:val="24"/>
      <w:lang w:val="en-US" w:eastAsia="zh-CN" w:bidi="ar-SA"/>
    </w:rPr>
  </w:style>
  <w:style w:type="paragraph" w:customStyle="1" w:styleId="24">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3"/>
    <w:qFormat/>
    <w:uiPriority w:val="0"/>
    <w:rPr>
      <w:rFonts w:ascii="Times New Roman" w:hAnsi="Times New Roman" w:eastAsia="Times New Roman" w:cs="Times New Roman"/>
      <w:sz w:val="24"/>
      <w:szCs w:val="24"/>
      <w:lang w:val="en-US" w:eastAsia="zh-CN" w:bidi="ar-SA"/>
    </w:rPr>
  </w:style>
  <w:style w:type="paragraph" w:customStyle="1" w:styleId="29">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Normal_15"/>
    <w:qFormat/>
    <w:uiPriority w:val="0"/>
    <w:rPr>
      <w:rFonts w:ascii="Times New Roman" w:hAnsi="Times New Roman" w:eastAsia="Times New Roman" w:cs="Times New Roman"/>
      <w:sz w:val="24"/>
      <w:szCs w:val="24"/>
      <w:lang w:val="en-US" w:eastAsia="zh-CN" w:bidi="ar-SA"/>
    </w:rPr>
  </w:style>
  <w:style w:type="paragraph" w:customStyle="1" w:styleId="31">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Normal_0"/>
    <w:qFormat/>
    <w:uiPriority w:val="0"/>
    <w:rPr>
      <w:rFonts w:ascii="Times New Roman" w:hAnsi="Times New Roman" w:eastAsia="Times New Roman" w:cs="Times New Roman"/>
      <w:sz w:val="24"/>
      <w:szCs w:val="24"/>
      <w:lang w:bidi="ar-SA"/>
    </w:rPr>
  </w:style>
  <w:style w:type="paragraph" w:customStyle="1" w:styleId="35">
    <w:name w:val="Plain Text"/>
    <w:basedOn w:val="1"/>
    <w:qFormat/>
    <w:uiPriority w:val="0"/>
    <w:rPr>
      <w:rFonts w:ascii="宋体" w:hAnsi="Courier New"/>
      <w:kern w:val="0"/>
      <w:sz w:val="20"/>
      <w:szCs w:val="20"/>
    </w:rPr>
  </w:style>
  <w:style w:type="paragraph" w:customStyle="1" w:styleId="36">
    <w:name w:val="Normal_1"/>
    <w:basedOn w:val="37"/>
    <w:qFormat/>
    <w:uiPriority w:val="0"/>
    <w:rPr>
      <w:rFonts w:ascii="黑体" w:hAnsi="黑体" w:eastAsia="黑体"/>
      <w:b/>
      <w:sz w:val="32"/>
      <w:szCs w:val="24"/>
      <w:lang w:bidi="ar-SA"/>
    </w:rPr>
  </w:style>
  <w:style w:type="paragraph" w:customStyle="1" w:styleId="37">
    <w:name w:val="正文_2"/>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2082</Words>
  <Characters>2187</Characters>
  <Lines>38</Lines>
  <Paragraphs>10</Paragraphs>
  <TotalTime>5</TotalTime>
  <ScaleCrop>false</ScaleCrop>
  <LinksUpToDate>false</LinksUpToDate>
  <CharactersWithSpaces>2530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董道成</cp:lastModifiedBy>
  <cp:lastPrinted>2022-06-14T08:45:00Z</cp:lastPrinted>
  <dcterms:modified xsi:type="dcterms:W3CDTF">2023-05-05T07:55:01Z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E17A87D3FA0A41C1AA5E998312F9A9F4</vt:lpwstr>
  </property>
</Properties>
</file>