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1"/>
        <w:tblW w:w="10080" w:type="dxa"/>
        <w:tblInd w:w="93" w:type="dxa"/>
        <w:tblLayout w:type="fixed"/>
        <w:tblCellMar>
          <w:top w:w="0" w:type="dxa"/>
          <w:left w:w="108" w:type="dxa"/>
          <w:bottom w:w="0" w:type="dxa"/>
          <w:right w:w="108" w:type="dxa"/>
        </w:tblCellMar>
      </w:tblPr>
      <w:tblGrid>
        <w:gridCol w:w="1080"/>
        <w:gridCol w:w="2184"/>
        <w:gridCol w:w="6816"/>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184"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816"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14:paraId="6DA9E189">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资格评审标准</w:t>
            </w:r>
          </w:p>
        </w:tc>
        <w:tc>
          <w:tcPr>
            <w:tcW w:w="2184" w:type="dxa"/>
            <w:tcBorders>
              <w:top w:val="single" w:color="auto" w:sz="4" w:space="0"/>
              <w:left w:val="nil"/>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营业执照要求</w:t>
            </w:r>
          </w:p>
        </w:tc>
        <w:tc>
          <w:tcPr>
            <w:tcW w:w="6816" w:type="dxa"/>
            <w:tcBorders>
              <w:top w:val="nil"/>
              <w:left w:val="nil"/>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000000"/>
                <w:kern w:val="0"/>
                <w:sz w:val="21"/>
                <w:szCs w:val="21"/>
                <w:highlight w:val="none"/>
                <w:lang w:eastAsia="zh-CN"/>
              </w:rPr>
            </w:pPr>
            <w:r>
              <w:rPr>
                <w:rFonts w:hint="default" w:ascii="宋体" w:hAnsi="宋体" w:eastAsia="宋体" w:cs="宋体"/>
                <w:color w:val="000000" w:themeColor="text1"/>
                <w:kern w:val="0"/>
                <w:sz w:val="21"/>
                <w:szCs w:val="21"/>
                <w:lang w:val="en-US" w:eastAsia="zh-CN"/>
                <w14:textFill>
                  <w14:solidFill>
                    <w14:schemeClr w14:val="tx1"/>
                  </w14:solidFill>
                </w14:textFill>
              </w:rPr>
              <w:t>投标方具备有效的营业执照（投标文件须附营业执照复印件）</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14:paraId="1DD18FC4">
        <w:tblPrEx>
          <w:tblCellMar>
            <w:top w:w="0" w:type="dxa"/>
            <w:left w:w="108" w:type="dxa"/>
            <w:bottom w:w="0" w:type="dxa"/>
            <w:right w:w="108" w:type="dxa"/>
          </w:tblCellMar>
        </w:tblPrEx>
        <w:trPr>
          <w:trHeight w:val="790" w:hRule="atLeast"/>
        </w:trPr>
        <w:tc>
          <w:tcPr>
            <w:tcW w:w="1080" w:type="dxa"/>
            <w:vMerge w:val="continue"/>
            <w:tcBorders>
              <w:left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000000"/>
                <w:kern w:val="0"/>
                <w:sz w:val="21"/>
                <w:szCs w:val="21"/>
              </w:rPr>
            </w:pPr>
          </w:p>
        </w:tc>
        <w:tc>
          <w:tcPr>
            <w:tcW w:w="2184" w:type="dxa"/>
            <w:tcBorders>
              <w:top w:val="single" w:color="auto" w:sz="4" w:space="0"/>
              <w:left w:val="nil"/>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资质要求</w:t>
            </w:r>
          </w:p>
        </w:tc>
        <w:tc>
          <w:tcPr>
            <w:tcW w:w="6816" w:type="dxa"/>
            <w:tcBorders>
              <w:top w:val="nil"/>
              <w:left w:val="nil"/>
              <w:bottom w:val="single" w:color="auto" w:sz="4" w:space="0"/>
              <w:right w:val="single" w:color="auto" w:sz="4" w:space="0"/>
            </w:tcBorders>
            <w:shd w:val="clear" w:color="auto" w:fill="auto"/>
            <w:vAlign w:val="center"/>
          </w:tcPr>
          <w:p w14:paraId="3802E4A4">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投标人须同时具备行业主管部门颁发的建设工程质量检测机构资质证书和检验检测机构资质认定证书资质。（投标</w:t>
            </w:r>
            <w:r>
              <w:rPr>
                <w:rFonts w:hint="default" w:ascii="宋体" w:hAnsi="宋体" w:eastAsia="宋体" w:cs="宋体"/>
                <w:color w:val="000000" w:themeColor="text1"/>
                <w:kern w:val="0"/>
                <w:sz w:val="21"/>
                <w:szCs w:val="21"/>
                <w:lang w:val="en-US" w:eastAsia="zh-CN"/>
                <w14:textFill>
                  <w14:solidFill>
                    <w14:schemeClr w14:val="tx1"/>
                  </w14:solidFill>
                </w14:textFill>
              </w:rPr>
              <w:t>文件须附</w:t>
            </w:r>
            <w:r>
              <w:rPr>
                <w:rFonts w:hint="eastAsia" w:ascii="宋体" w:hAnsi="宋体" w:eastAsia="宋体" w:cs="宋体"/>
                <w:color w:val="000000" w:themeColor="text1"/>
                <w:kern w:val="0"/>
                <w:sz w:val="21"/>
                <w:szCs w:val="21"/>
                <w:lang w:val="en-US" w:eastAsia="zh-CN"/>
                <w14:textFill>
                  <w14:solidFill>
                    <w14:schemeClr w14:val="tx1"/>
                  </w14:solidFill>
                </w14:textFill>
              </w:rPr>
              <w:t>相关证书复印件</w:t>
            </w:r>
            <w:r>
              <w:rPr>
                <w:rFonts w:hint="default" w:ascii="宋体" w:hAnsi="宋体" w:eastAsia="宋体" w:cs="宋体"/>
                <w:color w:val="000000" w:themeColor="text1"/>
                <w:kern w:val="0"/>
                <w:sz w:val="21"/>
                <w:szCs w:val="21"/>
                <w:lang w:val="en-US" w:eastAsia="zh-CN"/>
                <w14:textFill>
                  <w14:solidFill>
                    <w14:schemeClr w14:val="tx1"/>
                  </w14:solidFill>
                </w14:textFill>
              </w:rPr>
              <w:t>）</w:t>
            </w:r>
          </w:p>
        </w:tc>
      </w:tr>
      <w:tr w14:paraId="23EF857E">
        <w:tblPrEx>
          <w:tblCellMar>
            <w:top w:w="0" w:type="dxa"/>
            <w:left w:w="108" w:type="dxa"/>
            <w:bottom w:w="0" w:type="dxa"/>
            <w:right w:w="108" w:type="dxa"/>
          </w:tblCellMar>
        </w:tblPrEx>
        <w:trPr>
          <w:trHeight w:val="3397" w:hRule="atLeast"/>
        </w:trPr>
        <w:tc>
          <w:tcPr>
            <w:tcW w:w="1080" w:type="dxa"/>
            <w:vMerge w:val="continue"/>
            <w:tcBorders>
              <w:left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信誉要求</w:t>
            </w:r>
          </w:p>
        </w:tc>
        <w:tc>
          <w:tcPr>
            <w:tcW w:w="6816" w:type="dxa"/>
            <w:tcBorders>
              <w:top w:val="nil"/>
              <w:left w:val="nil"/>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（1）投标人不得存在下列情形之一： </w:t>
            </w:r>
          </w:p>
          <w:p w14:paraId="509CB484">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①正处于被责令停业，投标资格被暂停或取消</w:t>
            </w:r>
            <w:r>
              <w:rPr>
                <w:rFonts w:hint="eastAsia" w:ascii="宋体" w:hAnsi="宋体" w:cs="宋体"/>
                <w:color w:val="000000" w:themeColor="text1"/>
                <w:kern w:val="0"/>
                <w:sz w:val="21"/>
                <w:szCs w:val="21"/>
                <w:lang w:val="en-US" w:eastAsia="zh-CN"/>
                <w14:textFill>
                  <w14:solidFill>
                    <w14:schemeClr w14:val="tx1"/>
                  </w14:solidFill>
                </w14:textFill>
              </w:rPr>
              <w:t>；</w:t>
            </w:r>
          </w:p>
          <w:p w14:paraId="1F4447C3">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②近年（202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年至今）内有骗取中标和严重违约及</w:t>
            </w:r>
            <w:r>
              <w:rPr>
                <w:rFonts w:hint="eastAsia"/>
                <w:color w:val="000000" w:themeColor="text1"/>
                <w:highlight w:val="none"/>
                <w:lang w:eastAsia="zh-CN"/>
                <w14:textFill>
                  <w14:solidFill>
                    <w14:schemeClr w14:val="tx1"/>
                  </w14:solidFill>
                </w14:textFill>
              </w:rPr>
              <w:t>重大工程质量问题</w:t>
            </w:r>
            <w:r>
              <w:rPr>
                <w:rFonts w:hint="eastAsia" w:ascii="宋体" w:hAnsi="宋体" w:eastAsia="宋体" w:cs="宋体"/>
                <w:color w:val="000000" w:themeColor="text1"/>
                <w:kern w:val="0"/>
                <w:sz w:val="21"/>
                <w:szCs w:val="21"/>
                <w:lang w:val="en-US" w:eastAsia="zh-CN"/>
                <w14:textFill>
                  <w14:solidFill>
                    <w14:schemeClr w14:val="tx1"/>
                  </w14:solidFill>
                </w14:textFill>
              </w:rPr>
              <w:t>；（投标文件需附相关承诺书并加盖公章，格式详见比选文件中投标文件格式；新注册企业提供从公司</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年度至今的承诺书）。</w:t>
            </w:r>
          </w:p>
          <w:p w14:paraId="7C23ED7A">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000000" w:themeColor="text1"/>
                <w:kern w:val="0"/>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（3）在“国家企业信用信息公示系统”（http://www.gsxt.gov.cn/）中未被列入“严重违法失信企业名单”。（投标文件需附网页查询结果截图）</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left w:val="single" w:color="auto" w:sz="4" w:space="0"/>
              <w:right w:val="single" w:color="auto" w:sz="4" w:space="0"/>
            </w:tcBorders>
            <w:shd w:val="clear" w:color="auto" w:fill="auto"/>
            <w:vAlign w:val="center"/>
          </w:tcPr>
          <w:p w14:paraId="1676ED43">
            <w:pPr>
              <w:widowControl/>
              <w:jc w:val="center"/>
              <w:rPr>
                <w:rFonts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财务要求</w:t>
            </w:r>
          </w:p>
        </w:tc>
        <w:tc>
          <w:tcPr>
            <w:tcW w:w="6816" w:type="dxa"/>
            <w:tcBorders>
              <w:top w:val="nil"/>
              <w:left w:val="nil"/>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年1月1日至今）财务状况良好，没有处于财产被接管、破产或其他关、停、并、转状态（投标文件需附相关承诺并加盖公章，新</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的企业，需提供</w:t>
            </w:r>
            <w:r>
              <w:rPr>
                <w:rFonts w:hint="eastAsia" w:ascii="宋体" w:hAnsi="宋体" w:cs="宋体"/>
                <w:color w:val="000000" w:themeColor="text1"/>
                <w:kern w:val="0"/>
                <w:sz w:val="21"/>
                <w:szCs w:val="21"/>
                <w:lang w:val="en-US" w:eastAsia="zh-CN"/>
                <w14:textFill>
                  <w14:solidFill>
                    <w14:schemeClr w14:val="tx1"/>
                  </w14:solidFill>
                </w14:textFill>
              </w:rPr>
              <w:t>注册年度</w:t>
            </w:r>
            <w:r>
              <w:rPr>
                <w:rFonts w:hint="eastAsia" w:ascii="宋体" w:hAnsi="宋体" w:eastAsia="宋体" w:cs="宋体"/>
                <w:color w:val="000000" w:themeColor="text1"/>
                <w:kern w:val="0"/>
                <w:sz w:val="21"/>
                <w:szCs w:val="21"/>
                <w:lang w:val="en-US" w:eastAsia="zh-CN"/>
                <w14:textFill>
                  <w14:solidFill>
                    <w14:schemeClr w14:val="tx1"/>
                  </w14:solidFill>
                </w14:textFill>
              </w:rPr>
              <w:t>至今的承诺书，格式详见比选文件中投标文件格式）</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37A42A92">
        <w:tblPrEx>
          <w:tblCellMar>
            <w:top w:w="0" w:type="dxa"/>
            <w:left w:w="108" w:type="dxa"/>
            <w:bottom w:w="0" w:type="dxa"/>
            <w:right w:w="108" w:type="dxa"/>
          </w:tblCellMar>
        </w:tblPrEx>
        <w:trPr>
          <w:trHeight w:val="448" w:hRule="atLeast"/>
        </w:trPr>
        <w:tc>
          <w:tcPr>
            <w:tcW w:w="1080" w:type="dxa"/>
            <w:vMerge w:val="continue"/>
            <w:tcBorders>
              <w:left w:val="single" w:color="auto" w:sz="4" w:space="0"/>
              <w:right w:val="single" w:color="auto" w:sz="4" w:space="0"/>
            </w:tcBorders>
            <w:shd w:val="clear" w:color="auto" w:fill="auto"/>
            <w:vAlign w:val="center"/>
          </w:tcPr>
          <w:p w14:paraId="18DB9687">
            <w:pPr>
              <w:widowControl/>
              <w:jc w:val="center"/>
              <w:rPr>
                <w:rFonts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75ECEE14">
            <w:pPr>
              <w:widowControl/>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kern w:val="0"/>
                <w:sz w:val="21"/>
                <w:szCs w:val="21"/>
                <w:lang w:val="en-US" w:eastAsia="zh-CN"/>
              </w:rPr>
              <w:t>项目负责人</w:t>
            </w:r>
          </w:p>
        </w:tc>
        <w:tc>
          <w:tcPr>
            <w:tcW w:w="6816" w:type="dxa"/>
            <w:tcBorders>
              <w:top w:val="nil"/>
              <w:left w:val="nil"/>
              <w:bottom w:val="single" w:color="auto" w:sz="4" w:space="0"/>
              <w:right w:val="single" w:color="auto" w:sz="4" w:space="0"/>
            </w:tcBorders>
            <w:shd w:val="clear" w:color="auto" w:fill="auto"/>
            <w:vAlign w:val="center"/>
          </w:tcPr>
          <w:p w14:paraId="12324018">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拟派项目负责人1名，需具备工程材料检测中级（及以上）工程师资格。</w:t>
            </w:r>
          </w:p>
        </w:tc>
      </w:tr>
      <w:tr w14:paraId="0E0FB83C">
        <w:tblPrEx>
          <w:tblCellMar>
            <w:top w:w="0" w:type="dxa"/>
            <w:left w:w="108" w:type="dxa"/>
            <w:bottom w:w="0" w:type="dxa"/>
            <w:right w:w="108" w:type="dxa"/>
          </w:tblCellMar>
        </w:tblPrEx>
        <w:trPr>
          <w:trHeight w:val="510" w:hRule="atLeast"/>
        </w:trPr>
        <w:tc>
          <w:tcPr>
            <w:tcW w:w="1080" w:type="dxa"/>
            <w:vMerge w:val="continue"/>
            <w:tcBorders>
              <w:left w:val="single" w:color="auto" w:sz="4" w:space="0"/>
              <w:right w:val="single" w:color="auto" w:sz="4" w:space="0"/>
            </w:tcBorders>
            <w:shd w:val="clear" w:color="auto" w:fill="auto"/>
            <w:vAlign w:val="center"/>
          </w:tcPr>
          <w:p w14:paraId="4B2BA342">
            <w:pPr>
              <w:widowControl/>
              <w:jc w:val="center"/>
              <w:rPr>
                <w:rFonts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其他人员要求</w:t>
            </w:r>
          </w:p>
        </w:tc>
        <w:tc>
          <w:tcPr>
            <w:tcW w:w="6816" w:type="dxa"/>
            <w:tcBorders>
              <w:top w:val="nil"/>
              <w:left w:val="nil"/>
              <w:bottom w:val="single" w:color="auto" w:sz="4" w:space="0"/>
              <w:right w:val="single" w:color="auto" w:sz="4" w:space="0"/>
            </w:tcBorders>
            <w:shd w:val="clear" w:color="auto" w:fill="auto"/>
            <w:vAlign w:val="center"/>
          </w:tcPr>
          <w:p w14:paraId="6AE0D769">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拟派技术负责人1名，需具备工程材料检测中级（及以上）工程师资格。</w:t>
            </w:r>
          </w:p>
        </w:tc>
      </w:tr>
      <w:tr w14:paraId="5D0FCC92">
        <w:tblPrEx>
          <w:tblCellMar>
            <w:top w:w="0" w:type="dxa"/>
            <w:left w:w="108" w:type="dxa"/>
            <w:bottom w:w="0" w:type="dxa"/>
            <w:right w:w="108" w:type="dxa"/>
          </w:tblCellMar>
        </w:tblPrEx>
        <w:trPr>
          <w:trHeight w:val="1329"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5B52147B">
            <w:pPr>
              <w:widowControl/>
              <w:jc w:val="center"/>
              <w:rPr>
                <w:rFonts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1C0447DD">
            <w:pPr>
              <w:widowControl/>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社保要求</w:t>
            </w:r>
          </w:p>
        </w:tc>
        <w:tc>
          <w:tcPr>
            <w:tcW w:w="6816" w:type="dxa"/>
            <w:tcBorders>
              <w:top w:val="nil"/>
              <w:left w:val="nil"/>
              <w:bottom w:val="single" w:color="auto" w:sz="4" w:space="0"/>
              <w:right w:val="single" w:color="auto" w:sz="4" w:space="0"/>
            </w:tcBorders>
            <w:shd w:val="clear" w:color="auto" w:fill="auto"/>
            <w:vAlign w:val="center"/>
          </w:tcPr>
          <w:p w14:paraId="4F4A18FD">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以上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需提供有效的与聘用单位签订的聘用劳动合同及退休证明（投标文件需附</w:t>
            </w:r>
            <w:r>
              <w:rPr>
                <w:rFonts w:hint="eastAsia" w:ascii="宋体" w:hAnsi="宋体" w:cs="宋体"/>
                <w:color w:val="000000" w:themeColor="text1"/>
                <w:kern w:val="0"/>
                <w:sz w:val="21"/>
                <w:szCs w:val="21"/>
                <w:lang w:val="en-US" w:eastAsia="zh-CN"/>
                <w14:textFill>
                  <w14:solidFill>
                    <w14:schemeClr w14:val="tx1"/>
                  </w14:solidFill>
                </w14:textFill>
              </w:rPr>
              <w:t>相关证明资料</w:t>
            </w:r>
            <w:r>
              <w:rPr>
                <w:rFonts w:hint="eastAsia" w:ascii="宋体" w:hAnsi="宋体" w:eastAsia="宋体" w:cs="宋体"/>
                <w:color w:val="000000" w:themeColor="text1"/>
                <w:kern w:val="0"/>
                <w:sz w:val="21"/>
                <w:szCs w:val="21"/>
                <w:lang w:val="en-US" w:eastAsia="zh-CN"/>
                <w14:textFill>
                  <w14:solidFill>
                    <w14:schemeClr w14:val="tx1"/>
                  </w14:solidFill>
                </w14:textFill>
              </w:rPr>
              <w:t>复印件）</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符合性</w:t>
            </w:r>
            <w:r>
              <w:rPr>
                <w:rFonts w:hint="eastAsia" w:ascii="宋体" w:hAnsi="宋体" w:eastAsia="宋体" w:cs="宋体"/>
                <w:b/>
                <w:bCs/>
                <w:color w:val="000000"/>
                <w:kern w:val="0"/>
                <w:sz w:val="21"/>
                <w:szCs w:val="21"/>
              </w:rPr>
              <w:t>评审标准</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投标文件规范性</w:t>
            </w:r>
            <w:r>
              <w:rPr>
                <w:rFonts w:hint="eastAsia" w:ascii="宋体" w:hAnsi="宋体" w:eastAsia="宋体" w:cs="宋体"/>
                <w:b/>
                <w:bCs/>
                <w:color w:val="000000"/>
                <w:kern w:val="0"/>
                <w:sz w:val="21"/>
                <w:szCs w:val="21"/>
                <w:lang w:eastAsia="zh-CN"/>
              </w:rPr>
              <w:t>、符合性</w:t>
            </w:r>
          </w:p>
        </w:tc>
        <w:tc>
          <w:tcPr>
            <w:tcW w:w="6816"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r>
              <w:rPr>
                <w:rFonts w:hint="eastAsia" w:ascii="宋体" w:hAnsi="宋体" w:cs="宋体"/>
                <w:color w:val="000000"/>
                <w:kern w:val="0"/>
                <w:sz w:val="21"/>
                <w:szCs w:val="21"/>
                <w:highlight w:val="none"/>
                <w:lang w:eastAsia="zh-CN"/>
              </w:rPr>
              <w:t>；</w:t>
            </w:r>
          </w:p>
          <w:p w14:paraId="774BF015">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投标文件</w:t>
            </w:r>
            <w:r>
              <w:rPr>
                <w:rFonts w:hint="eastAsia" w:ascii="宋体" w:hAnsi="宋体" w:cs="宋体"/>
                <w:color w:val="000000"/>
                <w:kern w:val="0"/>
                <w:sz w:val="21"/>
                <w:szCs w:val="21"/>
                <w:highlight w:val="none"/>
              </w:rPr>
              <w:t>的签署、盖章、涂改、删除、插字、公章使用等符合</w:t>
            </w:r>
            <w:r>
              <w:rPr>
                <w:rFonts w:hint="eastAsia" w:ascii="宋体" w:hAnsi="宋体" w:cs="宋体"/>
                <w:color w:val="000000"/>
                <w:kern w:val="0"/>
                <w:sz w:val="21"/>
                <w:szCs w:val="21"/>
                <w:highlight w:val="none"/>
                <w:lang w:eastAsia="zh-CN"/>
              </w:rPr>
              <w:t>比选文件</w:t>
            </w:r>
            <w:r>
              <w:rPr>
                <w:rFonts w:hint="eastAsia" w:ascii="宋体" w:hAnsi="宋体" w:cs="宋体"/>
                <w:color w:val="000000"/>
                <w:kern w:val="0"/>
                <w:sz w:val="21"/>
                <w:szCs w:val="21"/>
                <w:highlight w:val="none"/>
              </w:rPr>
              <w:t>要求；</w:t>
            </w:r>
          </w:p>
          <w:p w14:paraId="1FBAB033">
            <w:pPr>
              <w:widowControl/>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 w:val="21"/>
                <w:szCs w:val="21"/>
                <w:highlight w:val="none"/>
                <w:lang w:eastAsia="zh-CN"/>
              </w:rPr>
              <w:t>投标</w:t>
            </w:r>
            <w:r>
              <w:rPr>
                <w:rFonts w:hint="eastAsia" w:ascii="宋体" w:hAnsi="宋体" w:cs="宋体"/>
                <w:color w:val="000000"/>
                <w:kern w:val="0"/>
                <w:sz w:val="21"/>
                <w:szCs w:val="21"/>
                <w:highlight w:val="none"/>
              </w:rPr>
              <w:t>文件的格式、目录等符合</w:t>
            </w:r>
            <w:r>
              <w:rPr>
                <w:rFonts w:hint="eastAsia" w:ascii="宋体" w:hAnsi="宋体" w:cs="宋体"/>
                <w:color w:val="000000"/>
                <w:kern w:val="0"/>
                <w:sz w:val="21"/>
                <w:szCs w:val="21"/>
                <w:highlight w:val="none"/>
                <w:lang w:eastAsia="zh-CN"/>
              </w:rPr>
              <w:t>比选</w:t>
            </w:r>
            <w:r>
              <w:rPr>
                <w:rFonts w:hint="eastAsia" w:ascii="宋体" w:hAnsi="宋体" w:cs="宋体"/>
                <w:color w:val="000000"/>
                <w:kern w:val="0"/>
                <w:sz w:val="21"/>
                <w:szCs w:val="21"/>
                <w:highlight w:val="none"/>
              </w:rPr>
              <w:t>文件要求。</w:t>
            </w:r>
          </w:p>
        </w:tc>
      </w:tr>
      <w:tr w14:paraId="299B4E30">
        <w:tblPrEx>
          <w:tblCellMar>
            <w:top w:w="0" w:type="dxa"/>
            <w:left w:w="108" w:type="dxa"/>
            <w:bottom w:w="0" w:type="dxa"/>
            <w:right w:w="108" w:type="dxa"/>
          </w:tblCellMar>
        </w:tblPrEx>
        <w:trPr>
          <w:trHeight w:val="49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eastAsia="宋体" w:cs="宋体"/>
                <w:b/>
                <w:bCs/>
                <w:color w:val="000000"/>
                <w:kern w:val="0"/>
                <w:sz w:val="21"/>
                <w:szCs w:val="21"/>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投标报价</w:t>
            </w:r>
          </w:p>
        </w:tc>
        <w:tc>
          <w:tcPr>
            <w:tcW w:w="6816"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kern w:val="0"/>
                <w:sz w:val="21"/>
                <w:szCs w:val="21"/>
                <w:lang w:eastAsia="zh-CN"/>
              </w:rPr>
              <w:t>只能有一个有效报价且</w:t>
            </w:r>
            <w:r>
              <w:rPr>
                <w:rFonts w:hint="eastAsia" w:ascii="宋体" w:hAnsi="宋体" w:cs="宋体"/>
                <w:color w:val="000000"/>
                <w:kern w:val="0"/>
                <w:sz w:val="21"/>
                <w:szCs w:val="21"/>
                <w:lang w:val="en-US" w:eastAsia="zh-CN"/>
              </w:rPr>
              <w:t>满足报价要求</w:t>
            </w:r>
            <w:r>
              <w:rPr>
                <w:rFonts w:hint="eastAsia" w:ascii="宋体" w:hAnsi="宋体" w:cs="宋体"/>
                <w:color w:val="000000"/>
                <w:kern w:val="0"/>
                <w:sz w:val="21"/>
                <w:szCs w:val="21"/>
              </w:rPr>
              <w:t>。</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检测内容</w:t>
            </w:r>
          </w:p>
        </w:tc>
        <w:tc>
          <w:tcPr>
            <w:tcW w:w="6816" w:type="dxa"/>
            <w:tcBorders>
              <w:top w:val="single" w:color="auto" w:sz="4" w:space="0"/>
              <w:left w:val="single" w:color="auto" w:sz="4" w:space="0"/>
              <w:bottom w:val="single" w:color="auto" w:sz="4" w:space="0"/>
              <w:right w:val="single" w:color="auto" w:sz="4" w:space="0"/>
            </w:tcBorders>
            <w:shd w:val="clear" w:color="000000" w:fill="FFFFFF"/>
            <w:vAlign w:val="center"/>
          </w:tcPr>
          <w:p w14:paraId="0C0A3CF3">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蒙古工业大学新能源学院建设项目二标段和四标段、鄂尔多斯职业学院汽车产业实训中心建设项目、鄂尔多斯生态环境职业学院新建宿舍楼项目、鄂尔多斯生态环境职业学院园林园艺专业综合实训基地建设项目的电线电缆、特殊管件、外墙保温等材料特殊参数检测。</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000000"/>
                <w:kern w:val="0"/>
                <w:sz w:val="21"/>
                <w:szCs w:val="21"/>
              </w:rPr>
            </w:pPr>
          </w:p>
        </w:tc>
        <w:tc>
          <w:tcPr>
            <w:tcW w:w="2184"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服务周期</w:t>
            </w:r>
          </w:p>
        </w:tc>
        <w:tc>
          <w:tcPr>
            <w:tcW w:w="6816" w:type="dxa"/>
            <w:tcBorders>
              <w:top w:val="single" w:color="auto" w:sz="4" w:space="0"/>
              <w:left w:val="nil"/>
              <w:bottom w:val="single" w:color="auto" w:sz="4" w:space="0"/>
              <w:right w:val="single" w:color="auto" w:sz="4" w:space="0"/>
            </w:tcBorders>
            <w:shd w:val="clear" w:color="000000" w:fill="FFFFFF"/>
            <w:vAlign w:val="center"/>
          </w:tcPr>
          <w:p w14:paraId="05110F2A">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各</w:t>
            </w:r>
            <w:r>
              <w:rPr>
                <w:rFonts w:hint="eastAsia" w:ascii="宋体" w:hAnsi="宋体" w:eastAsia="宋体" w:cs="宋体"/>
                <w:color w:val="000000"/>
                <w:kern w:val="0"/>
                <w:sz w:val="21"/>
                <w:szCs w:val="21"/>
                <w:lang w:val="en-US" w:eastAsia="zh-CN"/>
              </w:rPr>
              <w:t>项目开工后至完工前按照项目材料送检计划完成材料送检工作</w:t>
            </w:r>
          </w:p>
        </w:tc>
      </w:tr>
      <w:tr w14:paraId="1FED1172">
        <w:tblPrEx>
          <w:tblCellMar>
            <w:top w:w="0" w:type="dxa"/>
            <w:left w:w="108" w:type="dxa"/>
            <w:bottom w:w="0" w:type="dxa"/>
            <w:right w:w="108" w:type="dxa"/>
          </w:tblCellMar>
        </w:tblPrEx>
        <w:trPr>
          <w:trHeight w:val="83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质量标准</w:t>
            </w:r>
          </w:p>
        </w:tc>
        <w:tc>
          <w:tcPr>
            <w:tcW w:w="6816" w:type="dxa"/>
            <w:tcBorders>
              <w:top w:val="nil"/>
              <w:left w:val="nil"/>
              <w:bottom w:val="single" w:color="auto" w:sz="4" w:space="0"/>
              <w:right w:val="single" w:color="auto" w:sz="4" w:space="0"/>
            </w:tcBorders>
            <w:shd w:val="clear" w:color="000000" w:fill="FFFFFF"/>
            <w:vAlign w:val="center"/>
          </w:tcPr>
          <w:p w14:paraId="12B54110">
            <w:pPr>
              <w:widowControl/>
              <w:rPr>
                <w:rFonts w:hint="eastAsia" w:ascii="宋体" w:hAnsi="宋体" w:cs="宋体"/>
                <w:color w:val="000000"/>
                <w:kern w:val="0"/>
                <w:sz w:val="21"/>
                <w:szCs w:val="21"/>
              </w:rPr>
            </w:pPr>
            <w:r>
              <w:rPr>
                <w:rFonts w:hint="eastAsia" w:ascii="宋体" w:hAnsi="宋体" w:eastAsia="宋体" w:cs="宋体"/>
                <w:color w:val="000000"/>
                <w:kern w:val="0"/>
                <w:sz w:val="21"/>
                <w:szCs w:val="21"/>
                <w:lang w:val="en-US" w:eastAsia="zh-CN"/>
              </w:rPr>
              <w:t>质量符合现行有效的国家标准、行业标准、地方标准，并出具相关合格的成果文件。</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其他要求</w:t>
            </w:r>
          </w:p>
        </w:tc>
        <w:tc>
          <w:tcPr>
            <w:tcW w:w="6816"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比选公告其他</w:t>
            </w:r>
            <w:r>
              <w:rPr>
                <w:rFonts w:hint="eastAsia" w:ascii="宋体" w:hAnsi="宋体" w:cs="宋体"/>
                <w:color w:val="000000"/>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000000"/>
                <w:kern w:val="0"/>
                <w:sz w:val="21"/>
                <w:szCs w:val="21"/>
                <w:lang w:eastAsia="zh-CN"/>
              </w:rPr>
            </w:pPr>
            <w:r>
              <w:rPr>
                <w:rFonts w:hint="eastAsia" w:ascii="宋体" w:hAnsi="宋体" w:cs="宋体"/>
                <w:b/>
                <w:bCs/>
                <w:color w:val="000000"/>
                <w:kern w:val="0"/>
                <w:sz w:val="21"/>
                <w:szCs w:val="21"/>
              </w:rPr>
              <w:t>备注：</w:t>
            </w:r>
            <w:r>
              <w:rPr>
                <w:rFonts w:hint="eastAsia" w:ascii="宋体" w:hAnsi="宋体" w:cs="宋体"/>
                <w:b/>
                <w:bCs/>
                <w:color w:val="000000"/>
                <w:kern w:val="0"/>
                <w:sz w:val="21"/>
                <w:szCs w:val="21"/>
                <w:lang w:eastAsia="zh-CN"/>
              </w:rPr>
              <w:t>资格性、</w:t>
            </w:r>
            <w:r>
              <w:rPr>
                <w:rFonts w:hint="eastAsia" w:ascii="宋体" w:hAnsi="宋体" w:cs="宋体"/>
                <w:b/>
                <w:bCs/>
                <w:color w:val="000000"/>
                <w:kern w:val="0"/>
                <w:sz w:val="21"/>
                <w:szCs w:val="21"/>
              </w:rPr>
              <w:t>符合性审查中有任意一项未通过的，评审结果为</w:t>
            </w:r>
            <w:r>
              <w:rPr>
                <w:rFonts w:hint="eastAsia" w:ascii="宋体" w:hAnsi="宋体" w:cs="宋体"/>
                <w:b/>
                <w:bCs/>
                <w:color w:val="000000"/>
                <w:kern w:val="0"/>
                <w:sz w:val="21"/>
                <w:szCs w:val="21"/>
                <w:lang w:eastAsia="zh-CN"/>
              </w:rPr>
              <w:t>不合格。</w:t>
            </w:r>
          </w:p>
        </w:tc>
      </w:tr>
    </w:tbl>
    <w:p w14:paraId="2EBB0D37">
      <w:pPr>
        <w:rPr>
          <w:rFonts w:hint="eastAsia"/>
        </w:rPr>
      </w:pPr>
      <w:r>
        <w:rPr>
          <w:rFonts w:hint="eastAsia"/>
        </w:rPr>
        <w:br w:type="page"/>
      </w:r>
    </w:p>
    <w:p w14:paraId="33CD6D31">
      <w:pPr>
        <w:numPr>
          <w:ilvl w:val="0"/>
          <w:numId w:val="1"/>
        </w:numPr>
        <w:spacing w:line="360" w:lineRule="auto"/>
        <w:ind w:firstLine="236" w:firstLineChars="98"/>
      </w:pP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1"/>
        <w:tblW w:w="95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757"/>
        <w:gridCol w:w="7142"/>
      </w:tblGrid>
      <w:tr w14:paraId="4799B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14:paraId="2B2C2E53">
            <w:pPr>
              <w:jc w:val="center"/>
              <w:rPr>
                <w:rFonts w:ascii="仿宋" w:hAnsi="仿宋" w:eastAsia="仿宋"/>
                <w:b/>
                <w:color w:val="auto"/>
                <w:szCs w:val="21"/>
              </w:rPr>
            </w:pPr>
            <w:r>
              <w:rPr>
                <w:rFonts w:hint="eastAsia" w:asciiTheme="minorEastAsia" w:hAnsiTheme="minorEastAsia" w:eastAsiaTheme="minorEastAsia" w:cstheme="minorEastAsia"/>
                <w:sz w:val="24"/>
                <w:szCs w:val="24"/>
              </w:rPr>
              <w:t>评审因素</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77F016E1">
            <w:pPr>
              <w:jc w:val="center"/>
              <w:rPr>
                <w:rFonts w:ascii="仿宋" w:hAnsi="仿宋" w:eastAsia="仿宋"/>
                <w:b/>
                <w:color w:val="auto"/>
                <w:szCs w:val="21"/>
              </w:rPr>
            </w:pPr>
            <w:r>
              <w:rPr>
                <w:rFonts w:hint="eastAsia" w:asciiTheme="minorEastAsia" w:hAnsiTheme="minorEastAsia" w:eastAsiaTheme="minorEastAsia" w:cstheme="minorEastAsia"/>
                <w:sz w:val="24"/>
                <w:szCs w:val="24"/>
              </w:rPr>
              <w:t>评分标准</w:t>
            </w:r>
          </w:p>
        </w:tc>
      </w:tr>
      <w:tr w14:paraId="2CA6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2405" w:type="dxa"/>
            <w:gridSpan w:val="2"/>
            <w:tcBorders>
              <w:top w:val="nil"/>
              <w:left w:val="single" w:color="auto" w:sz="4" w:space="0"/>
              <w:bottom w:val="single" w:color="auto" w:sz="4" w:space="0"/>
              <w:right w:val="single" w:color="auto" w:sz="4" w:space="0"/>
            </w:tcBorders>
            <w:noWrap w:val="0"/>
            <w:vAlign w:val="center"/>
          </w:tcPr>
          <w:p w14:paraId="29F6ADCD">
            <w:pPr>
              <w:widowControl/>
              <w:rPr>
                <w:rFonts w:hint="eastAsia" w:ascii="仿宋" w:hAnsi="仿宋" w:eastAsia="仿宋"/>
                <w:color w:val="auto"/>
                <w:szCs w:val="21"/>
                <w:lang w:eastAsia="zh-CN"/>
              </w:rPr>
            </w:pPr>
            <w:r>
              <w:rPr>
                <w:rFonts w:hint="eastAsia" w:ascii="宋体" w:hAnsi="宋体" w:cs="宋体"/>
                <w:color w:val="000000"/>
                <w:kern w:val="0"/>
                <w:sz w:val="21"/>
                <w:szCs w:val="21"/>
                <w:highlight w:val="none"/>
                <w:lang w:val="en-US" w:eastAsia="zh-CN"/>
              </w:rPr>
              <w:t>分值构成</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44162917">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1.服务方案50分</w:t>
            </w:r>
          </w:p>
          <w:p w14:paraId="0B13BB4A">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2.商务部分10分</w:t>
            </w:r>
          </w:p>
          <w:p w14:paraId="4F610A33">
            <w:pPr>
              <w:widowControl/>
              <w:rPr>
                <w:rFonts w:hint="default" w:ascii="仿宋" w:hAnsi="仿宋" w:eastAsia="仿宋"/>
                <w:bCs/>
                <w:color w:val="auto"/>
                <w:szCs w:val="21"/>
                <w:lang w:val="en-US" w:eastAsia="zh-CN"/>
              </w:rPr>
            </w:pPr>
            <w:r>
              <w:rPr>
                <w:rFonts w:hint="eastAsia" w:ascii="宋体" w:hAnsi="宋体" w:cs="宋体"/>
                <w:color w:val="000000"/>
                <w:kern w:val="0"/>
                <w:sz w:val="21"/>
                <w:szCs w:val="21"/>
                <w:highlight w:val="none"/>
                <w:lang w:val="en-US" w:eastAsia="zh-CN"/>
              </w:rPr>
              <w:t>3.报价得分40分</w:t>
            </w:r>
          </w:p>
        </w:tc>
      </w:tr>
      <w:tr w14:paraId="4AD26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jc w:val="center"/>
        </w:trPr>
        <w:tc>
          <w:tcPr>
            <w:tcW w:w="648" w:type="dxa"/>
            <w:tcBorders>
              <w:top w:val="single" w:color="auto" w:sz="4" w:space="0"/>
              <w:left w:val="single" w:color="auto" w:sz="4" w:space="0"/>
              <w:right w:val="single" w:color="auto" w:sz="4" w:space="0"/>
            </w:tcBorders>
            <w:noWrap w:val="0"/>
            <w:vAlign w:val="center"/>
          </w:tcPr>
          <w:p w14:paraId="6EE1462B">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投标报价</w:t>
            </w:r>
          </w:p>
        </w:tc>
        <w:tc>
          <w:tcPr>
            <w:tcW w:w="1757" w:type="dxa"/>
            <w:tcBorders>
              <w:top w:val="single" w:color="auto" w:sz="4" w:space="0"/>
              <w:left w:val="nil"/>
              <w:bottom w:val="single" w:color="auto" w:sz="4" w:space="0"/>
              <w:right w:val="single" w:color="auto" w:sz="4" w:space="0"/>
            </w:tcBorders>
            <w:noWrap w:val="0"/>
            <w:vAlign w:val="center"/>
          </w:tcPr>
          <w:p w14:paraId="68B4CF4E">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投标报价</w:t>
            </w:r>
          </w:p>
          <w:p w14:paraId="2016BAC0">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（40分）</w:t>
            </w:r>
          </w:p>
          <w:p w14:paraId="1F8E8467">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 </w:t>
            </w:r>
          </w:p>
        </w:tc>
        <w:tc>
          <w:tcPr>
            <w:tcW w:w="7142" w:type="dxa"/>
            <w:tcBorders>
              <w:top w:val="single" w:color="auto" w:sz="4" w:space="0"/>
              <w:left w:val="single" w:color="auto" w:sz="4" w:space="0"/>
              <w:bottom w:val="single" w:color="auto" w:sz="4" w:space="0"/>
              <w:right w:val="single" w:color="auto" w:sz="4" w:space="0"/>
            </w:tcBorders>
            <w:noWrap w:val="0"/>
            <w:vAlign w:val="top"/>
          </w:tcPr>
          <w:p w14:paraId="5A2631B9">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lang w:val="en-US" w:eastAsia="zh-CN"/>
              </w:rPr>
              <w:t>依据内蒙古自治区发展和改革委员会文件内发改费字[2009]1741号文件(关于重新核定内蒙古建设工程质量检测建筑材料检验收费的函)，以及内蒙古自治区发展和改革委员会内发改费函[2012]608号文件（关于重新核定内蒙古自治区建设工程质量检测、建筑材料检验项目收费标准的复函），报价在此基础上最少下浮20%。在下浮20%的基础上下浮比例每增加1%，得1分，最高得40分。</w:t>
            </w:r>
          </w:p>
        </w:tc>
      </w:tr>
      <w:tr w14:paraId="28A2A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4" w:hRule="atLeast"/>
          <w:jc w:val="center"/>
        </w:trPr>
        <w:tc>
          <w:tcPr>
            <w:tcW w:w="648" w:type="dxa"/>
            <w:vMerge w:val="restart"/>
            <w:tcBorders>
              <w:top w:val="single" w:color="auto" w:sz="4" w:space="0"/>
              <w:left w:val="single" w:color="auto" w:sz="4" w:space="0"/>
              <w:right w:val="single" w:color="auto" w:sz="4" w:space="0"/>
            </w:tcBorders>
            <w:noWrap w:val="0"/>
            <w:vAlign w:val="center"/>
          </w:tcPr>
          <w:p w14:paraId="412A2E20">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技术部分</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727FF6F5">
            <w:pPr>
              <w:widowControl/>
              <w:numPr>
                <w:ilvl w:val="0"/>
                <w:numId w:val="0"/>
              </w:numP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检测方案（10分）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7A972E9B">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根据方案完整性（涵盖检测流程、标准依据、数据处理等）</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技术措施可行性（措施符合规范，结合工程特点</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可操作性强）、风险应对措施（对检测难点、异常情况有预）、 创新性（采用新技术、新工艺且效果明确）、文档规范性（方案格式规范、逻辑清晰）综合评分。</w:t>
            </w:r>
          </w:p>
          <w:p w14:paraId="4D915B1F">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优秀8-10分、良好4-7分、一般0-3分 </w:t>
            </w:r>
          </w:p>
        </w:tc>
      </w:tr>
      <w:tr w14:paraId="0CD9A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648" w:type="dxa"/>
            <w:vMerge w:val="continue"/>
            <w:tcBorders>
              <w:left w:val="single" w:color="auto" w:sz="4" w:space="0"/>
              <w:right w:val="single" w:color="auto" w:sz="4" w:space="0"/>
            </w:tcBorders>
            <w:noWrap w:val="0"/>
            <w:vAlign w:val="center"/>
          </w:tcPr>
          <w:p w14:paraId="7CC76A38">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15700FD7">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检测仪器设备（10分）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41293E8D">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根据设备先进性（设备为国内主流品牌，具备自动化、智能化功能）设备覆盖率（设备型号、精度是否满足检测需求、是否无关键设备缺失）、设备的校准与维护方案， 综合评分 。</w:t>
            </w:r>
          </w:p>
          <w:p w14:paraId="173707BF">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优秀8-10分、良好4-7分、一般0-3分  </w:t>
            </w:r>
          </w:p>
        </w:tc>
      </w:tr>
      <w:tr w14:paraId="23C6D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48" w:type="dxa"/>
            <w:vMerge w:val="continue"/>
            <w:tcBorders>
              <w:left w:val="single" w:color="auto" w:sz="4" w:space="0"/>
              <w:right w:val="single" w:color="auto" w:sz="4" w:space="0"/>
            </w:tcBorders>
            <w:noWrap w:val="0"/>
            <w:vAlign w:val="center"/>
          </w:tcPr>
          <w:p w14:paraId="60E21036">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63A4F9D8">
            <w:pPr>
              <w:widowControl/>
              <w:numPr>
                <w:ilvl w:val="0"/>
                <w:numId w:val="0"/>
              </w:numP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检测进度计划与措施安排合理（10分）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6EAC4707">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根据进度计划合理性（计划与工程工期匹配，关键节点明确）、资源配置合理性（人员、设备、时间分配科学，无冲突）及应急保障措施（对工期延误有无替代方案，如备用设备、增派人员） 综合评分。              </w:t>
            </w:r>
          </w:p>
          <w:p w14:paraId="037E69F5">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优秀8-10分、良好4-7分、一般0-3分</w:t>
            </w:r>
          </w:p>
        </w:tc>
      </w:tr>
      <w:tr w14:paraId="12112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48" w:type="dxa"/>
            <w:vMerge w:val="continue"/>
            <w:tcBorders>
              <w:left w:val="single" w:color="auto" w:sz="4" w:space="0"/>
              <w:right w:val="single" w:color="auto" w:sz="4" w:space="0"/>
            </w:tcBorders>
            <w:noWrap w:val="0"/>
            <w:vAlign w:val="center"/>
          </w:tcPr>
          <w:p w14:paraId="4D254A23">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411D2D3E">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检测工作计划（10分）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1F6D9602">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根据检测工作计划是否全面合理，是否满足项目规模检测计划要求以及数据管理方案（数据记录、存储、报告流程规范性）综合评分。</w:t>
            </w:r>
          </w:p>
          <w:p w14:paraId="557929B1">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优秀8-10分、良好4-7分、一般0-3分</w:t>
            </w:r>
          </w:p>
        </w:tc>
      </w:tr>
      <w:tr w14:paraId="59108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48" w:type="dxa"/>
            <w:vMerge w:val="continue"/>
            <w:tcBorders>
              <w:left w:val="single" w:color="auto" w:sz="4" w:space="0"/>
              <w:right w:val="single" w:color="auto" w:sz="4" w:space="0"/>
            </w:tcBorders>
            <w:noWrap w:val="0"/>
            <w:vAlign w:val="center"/>
          </w:tcPr>
          <w:p w14:paraId="09C8D6E0">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3B4B9BDA">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服务承诺（5分）</w:t>
            </w:r>
          </w:p>
          <w:p w14:paraId="57EFB844">
            <w:pPr>
              <w:widowControl/>
              <w:rPr>
                <w:rFonts w:hint="eastAsia" w:ascii="宋体" w:hAnsi="宋体" w:eastAsia="宋体" w:cs="宋体"/>
                <w:b/>
                <w:bCs/>
                <w:color w:val="000000"/>
                <w:kern w:val="0"/>
                <w:sz w:val="21"/>
                <w:szCs w:val="21"/>
                <w:lang w:val="en-US" w:eastAsia="zh-CN"/>
              </w:rPr>
            </w:pPr>
          </w:p>
        </w:tc>
        <w:tc>
          <w:tcPr>
            <w:tcW w:w="7142" w:type="dxa"/>
            <w:tcBorders>
              <w:top w:val="single" w:color="auto" w:sz="4" w:space="0"/>
              <w:left w:val="single" w:color="auto" w:sz="4" w:space="0"/>
              <w:bottom w:val="single" w:color="auto" w:sz="4" w:space="0"/>
              <w:right w:val="single" w:color="auto" w:sz="4" w:space="0"/>
            </w:tcBorders>
            <w:noWrap w:val="0"/>
            <w:vAlign w:val="center"/>
          </w:tcPr>
          <w:p w14:paraId="7337B893">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根据服务承诺（响应时间、售后承诺）是否可行综合评分。</w:t>
            </w:r>
          </w:p>
          <w:p w14:paraId="7B0CFB3B">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合理5-4分、良好3-2分、一般1-0分</w:t>
            </w:r>
          </w:p>
        </w:tc>
      </w:tr>
      <w:tr w14:paraId="237B6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48" w:type="dxa"/>
            <w:vMerge w:val="continue"/>
            <w:tcBorders>
              <w:left w:val="single" w:color="auto" w:sz="4" w:space="0"/>
              <w:bottom w:val="single" w:color="auto" w:sz="4" w:space="0"/>
              <w:right w:val="single" w:color="auto" w:sz="4" w:space="0"/>
            </w:tcBorders>
            <w:noWrap w:val="0"/>
            <w:vAlign w:val="center"/>
          </w:tcPr>
          <w:p w14:paraId="3A89BEAB">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5F5316F5">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组织机构（5分）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054137E5">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根据组织机构（人员架构清晰、职责分工明确）的合理性，健全性综合评分。</w:t>
            </w:r>
          </w:p>
          <w:p w14:paraId="392833BD">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合理、健全5-4分、良好3-2分、一般1-0分</w:t>
            </w:r>
          </w:p>
        </w:tc>
      </w:tr>
      <w:tr w14:paraId="4F1CB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48" w:type="dxa"/>
            <w:vMerge w:val="restart"/>
            <w:tcBorders>
              <w:top w:val="single" w:color="auto" w:sz="4" w:space="0"/>
              <w:left w:val="single" w:color="auto" w:sz="4" w:space="0"/>
              <w:right w:val="single" w:color="auto" w:sz="4" w:space="0"/>
            </w:tcBorders>
            <w:noWrap w:val="0"/>
            <w:vAlign w:val="center"/>
          </w:tcPr>
          <w:p w14:paraId="7CE7C262">
            <w:pPr>
              <w:widowControl/>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商务部分</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4D1B1023">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类似项目业绩</w:t>
            </w:r>
          </w:p>
          <w:p w14:paraId="771C9581">
            <w:pPr>
              <w:widowControl/>
              <w:ind w:firstLine="211" w:firstLineChars="10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（6分）</w:t>
            </w:r>
          </w:p>
        </w:tc>
        <w:tc>
          <w:tcPr>
            <w:tcW w:w="7142" w:type="dxa"/>
            <w:tcBorders>
              <w:top w:val="single" w:color="auto" w:sz="4" w:space="0"/>
              <w:left w:val="single" w:color="auto" w:sz="4" w:space="0"/>
              <w:bottom w:val="nil"/>
              <w:right w:val="single" w:color="auto" w:sz="4" w:space="0"/>
            </w:tcBorders>
            <w:noWrap w:val="0"/>
            <w:vAlign w:val="center"/>
          </w:tcPr>
          <w:p w14:paraId="732B4A9E">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2022年1月1日至今，每提供一项类似材料质量检测的业绩，得2分，最高得6分。</w:t>
            </w:r>
            <w:r>
              <w:rPr>
                <w:rFonts w:hint="eastAsia" w:ascii="宋体" w:hAnsi="宋体" w:cs="宋体"/>
                <w:color w:val="000000"/>
                <w:kern w:val="0"/>
                <w:sz w:val="21"/>
                <w:szCs w:val="21"/>
                <w:highlight w:val="none"/>
                <w:lang w:val="en-US" w:eastAsia="zh-CN"/>
              </w:rPr>
              <w:t>（投标文件需附相关合同资料复印件）。</w:t>
            </w:r>
          </w:p>
        </w:tc>
      </w:tr>
      <w:tr w14:paraId="389AC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6" w:hRule="atLeast"/>
          <w:jc w:val="center"/>
        </w:trPr>
        <w:tc>
          <w:tcPr>
            <w:tcW w:w="648" w:type="dxa"/>
            <w:vMerge w:val="continue"/>
            <w:tcBorders>
              <w:left w:val="single" w:color="auto" w:sz="4" w:space="0"/>
              <w:bottom w:val="single" w:color="auto" w:sz="4" w:space="0"/>
              <w:right w:val="single" w:color="auto" w:sz="4" w:space="0"/>
            </w:tcBorders>
            <w:noWrap w:val="0"/>
            <w:vAlign w:val="center"/>
          </w:tcPr>
          <w:p w14:paraId="6BB8A36F">
            <w:pPr>
              <w:widowControl/>
              <w:rPr>
                <w:rFonts w:hint="eastAsia" w:ascii="宋体" w:hAnsi="宋体" w:eastAsia="宋体" w:cs="宋体"/>
                <w:b/>
                <w:bCs/>
                <w:color w:val="000000"/>
                <w:kern w:val="0"/>
                <w:sz w:val="21"/>
                <w:szCs w:val="21"/>
                <w:lang w:val="en-US" w:eastAsia="zh-CN"/>
              </w:rPr>
            </w:pPr>
          </w:p>
        </w:tc>
        <w:tc>
          <w:tcPr>
            <w:tcW w:w="1757" w:type="dxa"/>
            <w:tcBorders>
              <w:left w:val="single" w:color="auto" w:sz="4" w:space="0"/>
              <w:bottom w:val="single" w:color="auto" w:sz="4" w:space="0"/>
              <w:right w:val="single" w:color="auto" w:sz="4" w:space="0"/>
            </w:tcBorders>
            <w:noWrap w:val="0"/>
            <w:vAlign w:val="center"/>
          </w:tcPr>
          <w:p w14:paraId="617B01C9">
            <w:pPr>
              <w:widowControl/>
              <w:ind w:left="211" w:hanging="211" w:hangingChars="100"/>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拟派</w:t>
            </w:r>
            <w:r>
              <w:rPr>
                <w:rFonts w:hint="eastAsia" w:ascii="宋体" w:hAnsi="宋体" w:cs="宋体"/>
                <w:b/>
                <w:bCs/>
                <w:color w:val="000000"/>
                <w:kern w:val="0"/>
                <w:sz w:val="21"/>
                <w:szCs w:val="21"/>
                <w:lang w:val="en-US" w:eastAsia="zh-CN"/>
              </w:rPr>
              <w:t>项目</w:t>
            </w:r>
            <w:r>
              <w:rPr>
                <w:rFonts w:hint="eastAsia" w:ascii="宋体" w:hAnsi="宋体" w:eastAsia="宋体" w:cs="宋体"/>
                <w:b/>
                <w:bCs/>
                <w:color w:val="000000"/>
                <w:kern w:val="0"/>
                <w:sz w:val="21"/>
                <w:szCs w:val="21"/>
                <w:lang w:val="en-US" w:eastAsia="zh-CN"/>
              </w:rPr>
              <w:t>检测人员 （4分）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303C7C0D">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投标人根据项目情况自行配备相关专业检测人员，每</w:t>
            </w:r>
            <w:r>
              <w:rPr>
                <w:rFonts w:hint="eastAsia" w:ascii="宋体" w:hAnsi="宋体" w:cs="宋体"/>
                <w:color w:val="000000"/>
                <w:kern w:val="0"/>
                <w:sz w:val="21"/>
                <w:szCs w:val="21"/>
                <w:lang w:val="en-US" w:eastAsia="zh-CN"/>
              </w:rPr>
              <w:t>配备</w:t>
            </w:r>
            <w:r>
              <w:rPr>
                <w:rFonts w:hint="eastAsia" w:ascii="宋体" w:hAnsi="宋体" w:eastAsia="宋体" w:cs="宋体"/>
                <w:color w:val="000000"/>
                <w:kern w:val="0"/>
                <w:sz w:val="21"/>
                <w:szCs w:val="21"/>
                <w:lang w:val="en-US" w:eastAsia="zh-CN"/>
              </w:rPr>
              <w:t>一名</w:t>
            </w:r>
            <w:r>
              <w:rPr>
                <w:rFonts w:hint="eastAsia" w:ascii="宋体" w:hAnsi="宋体" w:cs="宋体"/>
                <w:color w:val="000000"/>
                <w:kern w:val="0"/>
                <w:sz w:val="21"/>
                <w:szCs w:val="21"/>
                <w:lang w:val="en-US" w:eastAsia="zh-CN"/>
              </w:rPr>
              <w:t>相</w:t>
            </w:r>
            <w:r>
              <w:rPr>
                <w:rFonts w:hint="eastAsia" w:ascii="宋体" w:hAnsi="宋体" w:eastAsia="宋体" w:cs="宋体"/>
                <w:color w:val="000000"/>
                <w:kern w:val="0"/>
                <w:sz w:val="21"/>
                <w:szCs w:val="21"/>
                <w:lang w:val="en-US" w:eastAsia="zh-CN"/>
              </w:rPr>
              <w:t>关专业检测人员的，得2分，最高得4分。</w:t>
            </w:r>
            <w:r>
              <w:rPr>
                <w:rFonts w:hint="eastAsia" w:ascii="宋体" w:hAnsi="宋体" w:cs="宋体"/>
                <w:color w:val="000000"/>
                <w:kern w:val="0"/>
                <w:sz w:val="21"/>
                <w:szCs w:val="21"/>
                <w:lang w:val="en-US" w:eastAsia="zh-CN"/>
              </w:rPr>
              <w:t>增配</w:t>
            </w:r>
            <w:r>
              <w:rPr>
                <w:rFonts w:hint="eastAsia" w:ascii="宋体" w:hAnsi="宋体" w:eastAsia="宋体" w:cs="宋体"/>
                <w:color w:val="000000"/>
                <w:kern w:val="0"/>
                <w:sz w:val="21"/>
                <w:szCs w:val="21"/>
                <w:lang w:val="en-US" w:eastAsia="zh-CN"/>
              </w:rPr>
              <w:t>检测人员须提供</w:t>
            </w:r>
            <w:r>
              <w:rPr>
                <w:rFonts w:hint="eastAsia" w:ascii="宋体" w:hAnsi="宋体" w:cs="宋体"/>
                <w:color w:val="000000"/>
                <w:kern w:val="0"/>
                <w:sz w:val="21"/>
                <w:szCs w:val="21"/>
                <w:lang w:val="en-US" w:eastAsia="zh-CN"/>
              </w:rPr>
              <w:t>相关检测人员</w:t>
            </w:r>
            <w:r>
              <w:rPr>
                <w:rFonts w:hint="eastAsia" w:ascii="宋体" w:hAnsi="宋体" w:eastAsia="宋体" w:cs="宋体"/>
                <w:color w:val="000000"/>
                <w:kern w:val="0"/>
                <w:sz w:val="21"/>
                <w:szCs w:val="21"/>
                <w:lang w:val="en-US" w:eastAsia="zh-CN"/>
              </w:rPr>
              <w:t>证书复印件。</w:t>
            </w:r>
            <w:bookmarkStart w:id="0" w:name="_GoBack"/>
            <w:bookmarkEnd w:id="0"/>
            <w:r>
              <w:rPr>
                <w:rFonts w:hint="eastAsia" w:ascii="宋体" w:hAnsi="宋体" w:eastAsia="宋体" w:cs="宋体"/>
                <w:color w:val="000000"/>
                <w:kern w:val="0"/>
                <w:sz w:val="21"/>
                <w:szCs w:val="21"/>
                <w:lang w:val="en-US" w:eastAsia="zh-CN"/>
              </w:rPr>
              <w:t>注：</w:t>
            </w:r>
            <w:r>
              <w:rPr>
                <w:rFonts w:hint="eastAsia" w:ascii="宋体" w:hAnsi="宋体" w:cs="宋体"/>
                <w:color w:val="000000"/>
                <w:kern w:val="0"/>
                <w:sz w:val="21"/>
                <w:szCs w:val="21"/>
                <w:highlight w:val="none"/>
                <w:lang w:val="en-US" w:eastAsia="zh-CN"/>
              </w:rPr>
              <w:t>上述</w:t>
            </w:r>
            <w:r>
              <w:rPr>
                <w:rFonts w:hint="eastAsia" w:ascii="宋体" w:hAnsi="宋体" w:eastAsia="宋体" w:cs="宋体"/>
                <w:color w:val="000000"/>
                <w:kern w:val="0"/>
                <w:sz w:val="21"/>
                <w:szCs w:val="21"/>
                <w:highlight w:val="none"/>
                <w:lang w:val="en-US" w:eastAsia="zh-CN"/>
              </w:rPr>
              <w:t>所</w:t>
            </w:r>
            <w:r>
              <w:rPr>
                <w:rFonts w:hint="eastAsia" w:ascii="宋体" w:hAnsi="宋体" w:cs="宋体"/>
                <w:color w:val="000000"/>
                <w:kern w:val="0"/>
                <w:sz w:val="21"/>
                <w:szCs w:val="21"/>
                <w:highlight w:val="none"/>
                <w:lang w:val="en-US" w:eastAsia="zh-CN"/>
              </w:rPr>
              <w:t>配</w:t>
            </w:r>
            <w:r>
              <w:rPr>
                <w:rFonts w:hint="eastAsia" w:ascii="宋体" w:hAnsi="宋体" w:eastAsia="宋体" w:cs="宋体"/>
                <w:color w:val="000000"/>
                <w:kern w:val="0"/>
                <w:sz w:val="21"/>
                <w:szCs w:val="21"/>
                <w:highlight w:val="none"/>
                <w:lang w:val="en-US" w:eastAsia="zh-CN"/>
              </w:rPr>
              <w:t>人员年龄不得超过65周岁，</w:t>
            </w:r>
            <w:r>
              <w:rPr>
                <w:rFonts w:hint="eastAsia" w:ascii="宋体" w:hAnsi="宋体" w:cs="宋体"/>
                <w:color w:val="000000"/>
                <w:kern w:val="0"/>
                <w:sz w:val="21"/>
                <w:szCs w:val="21"/>
                <w:highlight w:val="none"/>
                <w:lang w:val="en-US" w:eastAsia="zh-CN"/>
              </w:rPr>
              <w:t>需</w:t>
            </w:r>
            <w:r>
              <w:rPr>
                <w:rFonts w:hint="eastAsia" w:ascii="宋体" w:hAnsi="宋体" w:eastAsia="宋体" w:cs="宋体"/>
                <w:color w:val="000000"/>
                <w:kern w:val="0"/>
                <w:sz w:val="21"/>
                <w:szCs w:val="21"/>
                <w:highlight w:val="none"/>
                <w:lang w:val="en-US" w:eastAsia="zh-CN"/>
              </w:rPr>
              <w:t>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w:t>
            </w:r>
            <w:r>
              <w:rPr>
                <w:rFonts w:hint="eastAsia" w:ascii="宋体" w:hAnsi="宋体" w:cs="宋体"/>
                <w:color w:val="000000"/>
                <w:kern w:val="0"/>
                <w:sz w:val="21"/>
                <w:szCs w:val="21"/>
                <w:highlight w:val="none"/>
                <w:lang w:val="en-US" w:eastAsia="zh-CN"/>
              </w:rPr>
              <w:t>（投标文件需附相关证书及社保证明资料复印件）。</w:t>
            </w:r>
          </w:p>
        </w:tc>
      </w:tr>
    </w:tbl>
    <w:p w14:paraId="4E50FA49">
      <w:pPr>
        <w:widowControl/>
        <w:numPr>
          <w:ilvl w:val="0"/>
          <w:numId w:val="2"/>
        </w:numPr>
        <w:spacing w:line="360" w:lineRule="auto"/>
        <w:jc w:val="left"/>
        <w:rPr>
          <w:rFonts w:hint="eastAsia" w:ascii="宋体" w:hAnsi="宋体"/>
          <w:b/>
          <w:sz w:val="24"/>
          <w:lang w:eastAsia="zh-CN"/>
        </w:rPr>
      </w:pPr>
      <w:r>
        <w:rPr>
          <w:rFonts w:hint="eastAsia" w:ascii="宋体" w:hAnsi="宋体"/>
          <w:b/>
          <w:bCs w:val="0"/>
          <w:sz w:val="24"/>
          <w:lang w:eastAsia="zh-CN"/>
        </w:rPr>
        <w:t>详细评审后根据得</w:t>
      </w:r>
      <w:r>
        <w:rPr>
          <w:rFonts w:hint="eastAsia" w:ascii="宋体" w:hAnsi="宋体"/>
          <w:b/>
          <w:sz w:val="24"/>
          <w:lang w:eastAsia="zh-CN"/>
        </w:rPr>
        <w:t>分由高到低的顺序进行排序</w:t>
      </w:r>
    </w:p>
    <w:p w14:paraId="2FCF0A27">
      <w:pPr>
        <w:widowControl/>
        <w:numPr>
          <w:ilvl w:val="0"/>
          <w:numId w:val="2"/>
        </w:numPr>
        <w:spacing w:line="360" w:lineRule="auto"/>
        <w:jc w:val="left"/>
        <w:rPr>
          <w:rFonts w:hint="eastAsia"/>
          <w:lang w:eastAsia="zh-CN"/>
        </w:rPr>
      </w:pPr>
      <w:r>
        <w:rPr>
          <w:rFonts w:hint="eastAsia" w:ascii="宋体" w:hAnsi="宋体"/>
          <w:b/>
          <w:sz w:val="24"/>
          <w:lang w:eastAsia="zh-CN"/>
        </w:rPr>
        <w:t>根据排序，得分最高的比选投标人作为本项目比选中标人并与比选招标人签订合同。</w:t>
      </w:r>
    </w:p>
    <w:sectPr>
      <w:headerReference r:id="rId3" w:type="default"/>
      <w:footerReference r:id="rId4" w:type="default"/>
      <w:pgSz w:w="11906" w:h="16838"/>
      <w:pgMar w:top="12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8"/>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74D27"/>
    <w:multiLevelType w:val="singleLevel"/>
    <w:tmpl w:val="ED674D27"/>
    <w:lvl w:ilvl="0" w:tentative="0">
      <w:start w:val="3"/>
      <w:numFmt w:val="chineseCounting"/>
      <w:suff w:val="nothing"/>
      <w:lvlText w:val="%1、"/>
      <w:lvlJc w:val="left"/>
      <w:rPr>
        <w:rFonts w:hint="eastAsia"/>
      </w:rPr>
    </w:lvl>
  </w:abstractNum>
  <w:abstractNum w:abstractNumId="1">
    <w:nsid w:val="59910FDD"/>
    <w:multiLevelType w:val="singleLevel"/>
    <w:tmpl w:val="59910FDD"/>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1A67464"/>
    <w:rsid w:val="024C4475"/>
    <w:rsid w:val="02F736D5"/>
    <w:rsid w:val="02FB35F3"/>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175A46"/>
    <w:rsid w:val="0FE01D5B"/>
    <w:rsid w:val="10032DAD"/>
    <w:rsid w:val="10E07932"/>
    <w:rsid w:val="110A3474"/>
    <w:rsid w:val="11142614"/>
    <w:rsid w:val="11341EA7"/>
    <w:rsid w:val="114612EE"/>
    <w:rsid w:val="11E0036E"/>
    <w:rsid w:val="11E7459E"/>
    <w:rsid w:val="124E6C0B"/>
    <w:rsid w:val="12FF02C4"/>
    <w:rsid w:val="132B04D6"/>
    <w:rsid w:val="144D1BB8"/>
    <w:rsid w:val="144D579D"/>
    <w:rsid w:val="145F1965"/>
    <w:rsid w:val="14E15A4F"/>
    <w:rsid w:val="14EB0D8E"/>
    <w:rsid w:val="151F6992"/>
    <w:rsid w:val="153825F0"/>
    <w:rsid w:val="155D253C"/>
    <w:rsid w:val="15BD6592"/>
    <w:rsid w:val="161B669A"/>
    <w:rsid w:val="16C8503C"/>
    <w:rsid w:val="16F24C74"/>
    <w:rsid w:val="16F86A93"/>
    <w:rsid w:val="176754FB"/>
    <w:rsid w:val="19105622"/>
    <w:rsid w:val="19917927"/>
    <w:rsid w:val="19E04DC9"/>
    <w:rsid w:val="19E716B5"/>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AF2F28"/>
    <w:rsid w:val="1EB569EA"/>
    <w:rsid w:val="1F5A661E"/>
    <w:rsid w:val="1FE93EF2"/>
    <w:rsid w:val="20B94664"/>
    <w:rsid w:val="20E06AFB"/>
    <w:rsid w:val="21B573DF"/>
    <w:rsid w:val="2229015B"/>
    <w:rsid w:val="22567BFC"/>
    <w:rsid w:val="22934484"/>
    <w:rsid w:val="22955210"/>
    <w:rsid w:val="234971CB"/>
    <w:rsid w:val="23F16B0C"/>
    <w:rsid w:val="25585215"/>
    <w:rsid w:val="260F2F4A"/>
    <w:rsid w:val="26312FF5"/>
    <w:rsid w:val="266876DA"/>
    <w:rsid w:val="27670C43"/>
    <w:rsid w:val="27C95B1D"/>
    <w:rsid w:val="281C74E0"/>
    <w:rsid w:val="28227487"/>
    <w:rsid w:val="28C826B1"/>
    <w:rsid w:val="293D5C68"/>
    <w:rsid w:val="2A3E6B37"/>
    <w:rsid w:val="2A515C6C"/>
    <w:rsid w:val="2B3F1219"/>
    <w:rsid w:val="2B4B77A9"/>
    <w:rsid w:val="2BD72012"/>
    <w:rsid w:val="2BEF3496"/>
    <w:rsid w:val="2C7F33F4"/>
    <w:rsid w:val="2CBE15DF"/>
    <w:rsid w:val="2E1E1E9D"/>
    <w:rsid w:val="2ED01A67"/>
    <w:rsid w:val="2EDC4D96"/>
    <w:rsid w:val="2FCC0CD9"/>
    <w:rsid w:val="309051B6"/>
    <w:rsid w:val="30BB178B"/>
    <w:rsid w:val="311C17EC"/>
    <w:rsid w:val="3169177A"/>
    <w:rsid w:val="31846257"/>
    <w:rsid w:val="319A651A"/>
    <w:rsid w:val="31C705FE"/>
    <w:rsid w:val="324B7372"/>
    <w:rsid w:val="324F1FD6"/>
    <w:rsid w:val="341D6C13"/>
    <w:rsid w:val="3483778D"/>
    <w:rsid w:val="3485544C"/>
    <w:rsid w:val="349B4F01"/>
    <w:rsid w:val="34B76D87"/>
    <w:rsid w:val="34CA10CC"/>
    <w:rsid w:val="358932A9"/>
    <w:rsid w:val="35C91A6F"/>
    <w:rsid w:val="364423AB"/>
    <w:rsid w:val="368E25AF"/>
    <w:rsid w:val="374241B1"/>
    <w:rsid w:val="379551E7"/>
    <w:rsid w:val="37A17DFB"/>
    <w:rsid w:val="37B246C5"/>
    <w:rsid w:val="38246846"/>
    <w:rsid w:val="38C871CC"/>
    <w:rsid w:val="396B18F3"/>
    <w:rsid w:val="39C16CA5"/>
    <w:rsid w:val="3A4024B3"/>
    <w:rsid w:val="3A62773C"/>
    <w:rsid w:val="3AB24F6F"/>
    <w:rsid w:val="3AED6192"/>
    <w:rsid w:val="3BA61806"/>
    <w:rsid w:val="3BC525E8"/>
    <w:rsid w:val="3C0C7C67"/>
    <w:rsid w:val="3CE14E72"/>
    <w:rsid w:val="3D146054"/>
    <w:rsid w:val="3DEC6C1A"/>
    <w:rsid w:val="3E304B6F"/>
    <w:rsid w:val="3E411E31"/>
    <w:rsid w:val="3E5645AE"/>
    <w:rsid w:val="3F1B617E"/>
    <w:rsid w:val="3F6B49E7"/>
    <w:rsid w:val="407713CF"/>
    <w:rsid w:val="411C0F21"/>
    <w:rsid w:val="41A04F09"/>
    <w:rsid w:val="41B12925"/>
    <w:rsid w:val="41D25675"/>
    <w:rsid w:val="420B72FB"/>
    <w:rsid w:val="422E4A30"/>
    <w:rsid w:val="427E3424"/>
    <w:rsid w:val="43282273"/>
    <w:rsid w:val="44585060"/>
    <w:rsid w:val="455C77E1"/>
    <w:rsid w:val="462B5AED"/>
    <w:rsid w:val="4641218F"/>
    <w:rsid w:val="46824B6B"/>
    <w:rsid w:val="46A05DFB"/>
    <w:rsid w:val="47A35F49"/>
    <w:rsid w:val="486C41D0"/>
    <w:rsid w:val="4A433654"/>
    <w:rsid w:val="4B1B6F3D"/>
    <w:rsid w:val="4BB519A4"/>
    <w:rsid w:val="4CA22CD2"/>
    <w:rsid w:val="4CB844C2"/>
    <w:rsid w:val="4CD22D8F"/>
    <w:rsid w:val="4CDB7D50"/>
    <w:rsid w:val="4CE865CF"/>
    <w:rsid w:val="4DF87E62"/>
    <w:rsid w:val="4ED15FDA"/>
    <w:rsid w:val="4F693909"/>
    <w:rsid w:val="4FA05F31"/>
    <w:rsid w:val="4FE22BBF"/>
    <w:rsid w:val="502F749A"/>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6404166"/>
    <w:rsid w:val="57880077"/>
    <w:rsid w:val="57D30508"/>
    <w:rsid w:val="59223EB6"/>
    <w:rsid w:val="59450CF0"/>
    <w:rsid w:val="59CC2262"/>
    <w:rsid w:val="5A20770E"/>
    <w:rsid w:val="5ABC1BBF"/>
    <w:rsid w:val="5ACD5E2C"/>
    <w:rsid w:val="5ADB5852"/>
    <w:rsid w:val="5B9D46F0"/>
    <w:rsid w:val="5BBA1DA4"/>
    <w:rsid w:val="5D5548F7"/>
    <w:rsid w:val="5D992979"/>
    <w:rsid w:val="5E3621C1"/>
    <w:rsid w:val="5E782277"/>
    <w:rsid w:val="5E917E2C"/>
    <w:rsid w:val="5FE75693"/>
    <w:rsid w:val="602E725E"/>
    <w:rsid w:val="603D1753"/>
    <w:rsid w:val="60FF065F"/>
    <w:rsid w:val="62232491"/>
    <w:rsid w:val="636D59F7"/>
    <w:rsid w:val="64C56F22"/>
    <w:rsid w:val="65652A5B"/>
    <w:rsid w:val="66E856F1"/>
    <w:rsid w:val="67460BBF"/>
    <w:rsid w:val="67811C48"/>
    <w:rsid w:val="67A9539F"/>
    <w:rsid w:val="689F385E"/>
    <w:rsid w:val="68AC26C1"/>
    <w:rsid w:val="69DC785F"/>
    <w:rsid w:val="69FF4F50"/>
    <w:rsid w:val="6A1009F8"/>
    <w:rsid w:val="6A5808A5"/>
    <w:rsid w:val="6B1B6095"/>
    <w:rsid w:val="6C6C7D24"/>
    <w:rsid w:val="6C8E0AE9"/>
    <w:rsid w:val="6CAA2CB7"/>
    <w:rsid w:val="6D042B59"/>
    <w:rsid w:val="6E7A1325"/>
    <w:rsid w:val="6EF40649"/>
    <w:rsid w:val="6F317710"/>
    <w:rsid w:val="70910BA8"/>
    <w:rsid w:val="70A50B75"/>
    <w:rsid w:val="710042F6"/>
    <w:rsid w:val="714B5350"/>
    <w:rsid w:val="71C04BA8"/>
    <w:rsid w:val="724C19C2"/>
    <w:rsid w:val="72A96818"/>
    <w:rsid w:val="73AE11EE"/>
    <w:rsid w:val="73CB395E"/>
    <w:rsid w:val="74370701"/>
    <w:rsid w:val="748C7224"/>
    <w:rsid w:val="748F7EBB"/>
    <w:rsid w:val="7501578F"/>
    <w:rsid w:val="773E6630"/>
    <w:rsid w:val="77705C1A"/>
    <w:rsid w:val="77783405"/>
    <w:rsid w:val="77B738D2"/>
    <w:rsid w:val="77DC6411"/>
    <w:rsid w:val="7846008F"/>
    <w:rsid w:val="78AA7320"/>
    <w:rsid w:val="7A7C32C7"/>
    <w:rsid w:val="7A9167A5"/>
    <w:rsid w:val="7A9937C8"/>
    <w:rsid w:val="7ADC79A2"/>
    <w:rsid w:val="7B146C82"/>
    <w:rsid w:val="7B507329"/>
    <w:rsid w:val="7B827A6B"/>
    <w:rsid w:val="7C074040"/>
    <w:rsid w:val="7CC27F6F"/>
    <w:rsid w:val="7CF92428"/>
    <w:rsid w:val="7DE20C36"/>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after="120" w:afterLines="0"/>
      <w:ind w:left="420" w:leftChars="200"/>
    </w:pPr>
  </w:style>
  <w:style w:type="paragraph" w:styleId="6">
    <w:name w:val="Balloon Text"/>
    <w:basedOn w:val="1"/>
    <w:link w:val="23"/>
    <w:qFormat/>
    <w:uiPriority w:val="0"/>
    <w:rPr>
      <w:sz w:val="18"/>
      <w:szCs w:val="18"/>
    </w:rPr>
  </w:style>
  <w:style w:type="paragraph" w:styleId="7">
    <w:name w:val="footer"/>
    <w:basedOn w:val="1"/>
    <w:link w:val="21"/>
    <w:autoRedefine/>
    <w:qFormat/>
    <w:uiPriority w:val="99"/>
    <w:pPr>
      <w:tabs>
        <w:tab w:val="center" w:pos="4153"/>
        <w:tab w:val="right" w:pos="8306"/>
      </w:tabs>
      <w:snapToGrid w:val="0"/>
      <w:jc w:val="left"/>
    </w:pPr>
    <w:rPr>
      <w:sz w:val="18"/>
      <w:szCs w:val="18"/>
    </w:rPr>
  </w:style>
  <w:style w:type="paragraph" w:styleId="8">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4"/>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Body Text First Indent 2"/>
    <w:basedOn w:val="5"/>
    <w:unhideWhenUsed/>
    <w:qFormat/>
    <w:uiPriority w:val="99"/>
    <w:pPr>
      <w:ind w:firstLine="420" w:firstLineChars="20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paragraph" w:customStyle="1" w:styleId="1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6">
    <w:name w:val="标题 1 Char"/>
    <w:basedOn w:val="13"/>
    <w:link w:val="2"/>
    <w:autoRedefine/>
    <w:qFormat/>
    <w:uiPriority w:val="0"/>
    <w:rPr>
      <w:b/>
      <w:bCs/>
      <w:kern w:val="44"/>
      <w:sz w:val="32"/>
      <w:szCs w:val="44"/>
    </w:rPr>
  </w:style>
  <w:style w:type="character" w:customStyle="1" w:styleId="17">
    <w:name w:val="列出段落 Char"/>
    <w:link w:val="18"/>
    <w:autoRedefine/>
    <w:qFormat/>
    <w:uiPriority w:val="0"/>
    <w:rPr>
      <w:kern w:val="2"/>
      <w:sz w:val="21"/>
    </w:rPr>
  </w:style>
  <w:style w:type="paragraph" w:customStyle="1" w:styleId="18">
    <w:name w:val="List Paragraph"/>
    <w:basedOn w:val="1"/>
    <w:link w:val="17"/>
    <w:autoRedefine/>
    <w:qFormat/>
    <w:uiPriority w:val="0"/>
    <w:pPr>
      <w:ind w:firstLine="420" w:firstLineChars="200"/>
    </w:pPr>
    <w:rPr>
      <w:szCs w:val="20"/>
    </w:rPr>
  </w:style>
  <w:style w:type="character" w:customStyle="1" w:styleId="19">
    <w:name w:val="页眉 Char"/>
    <w:link w:val="8"/>
    <w:autoRedefine/>
    <w:qFormat/>
    <w:uiPriority w:val="99"/>
    <w:rPr>
      <w:kern w:val="2"/>
      <w:sz w:val="18"/>
      <w:szCs w:val="18"/>
    </w:rPr>
  </w:style>
  <w:style w:type="character" w:customStyle="1" w:styleId="20">
    <w:name w:val="页眉 Char1"/>
    <w:basedOn w:val="13"/>
    <w:autoRedefine/>
    <w:qFormat/>
    <w:uiPriority w:val="0"/>
    <w:rPr>
      <w:kern w:val="2"/>
      <w:sz w:val="18"/>
      <w:szCs w:val="18"/>
    </w:rPr>
  </w:style>
  <w:style w:type="character" w:customStyle="1" w:styleId="21">
    <w:name w:val="页脚 Char"/>
    <w:basedOn w:val="13"/>
    <w:link w:val="7"/>
    <w:autoRedefine/>
    <w:qFormat/>
    <w:uiPriority w:val="99"/>
    <w:rPr>
      <w:kern w:val="2"/>
      <w:sz w:val="18"/>
      <w:szCs w:val="18"/>
    </w:rPr>
  </w:style>
  <w:style w:type="paragraph" w:customStyle="1" w:styleId="22">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框文本 Char"/>
    <w:basedOn w:val="13"/>
    <w:link w:val="6"/>
    <w:autoRedefine/>
    <w:qFormat/>
    <w:uiPriority w:val="0"/>
    <w:rPr>
      <w:kern w:val="2"/>
      <w:sz w:val="18"/>
      <w:szCs w:val="18"/>
    </w:rPr>
  </w:style>
  <w:style w:type="character" w:customStyle="1" w:styleId="24">
    <w:name w:val="副标题 Char"/>
    <w:basedOn w:val="13"/>
    <w:link w:val="9"/>
    <w:autoRedefine/>
    <w:qFormat/>
    <w:uiPriority w:val="0"/>
    <w:rPr>
      <w:rFonts w:asciiTheme="majorHAnsi" w:hAnsiTheme="majorHAnsi" w:cstheme="majorBidi"/>
      <w:b/>
      <w:bCs/>
      <w:kern w:val="28"/>
      <w:sz w:val="32"/>
      <w:szCs w:val="32"/>
    </w:rPr>
  </w:style>
  <w:style w:type="paragraph" w:customStyle="1" w:styleId="25">
    <w:name w:val="Normal_3"/>
    <w:autoRedefine/>
    <w:qFormat/>
    <w:uiPriority w:val="0"/>
    <w:rPr>
      <w:rFonts w:ascii="Times New Roman" w:hAnsi="Times New Roman" w:eastAsia="宋体" w:cs="Times New Roman"/>
      <w:sz w:val="24"/>
      <w:szCs w:val="24"/>
      <w:lang w:val="en-US" w:eastAsia="zh-CN" w:bidi="ar-SA"/>
    </w:rPr>
  </w:style>
  <w:style w:type="paragraph" w:customStyle="1" w:styleId="26">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3">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2332</Words>
  <Characters>2499</Characters>
  <Lines>38</Lines>
  <Paragraphs>10</Paragraphs>
  <TotalTime>1</TotalTime>
  <ScaleCrop>false</ScaleCrop>
  <LinksUpToDate>false</LinksUpToDate>
  <CharactersWithSpaces>2526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2025-06-10T06:36:32Z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AA8881F6366F4437B17DA813EDBBF58E_13</vt:lpwstr>
  </property>
  <property fmtid="{D5CDD505-2E9C-101B-9397-08002B2CF9AE}" pid="4" name="KSOTemplateDocerSaveRecord">
    <vt:lpwstr>eyJoZGlkIjoiNTEyOWUwMjAyYzg3YmNiYTJhYzgwMDkxNjMyNDI2Y2YiLCJ1c2VySWQiOiI2Nzc1Mzc5NDMifQ==</vt:lpwstr>
  </property>
</Properties>
</file>