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4DACD">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14:paraId="7E6C7379">
      <w:pPr>
        <w:widowControl/>
        <w:jc w:val="left"/>
        <w:rPr>
          <w:rFonts w:hint="eastAsia"/>
          <w:b/>
          <w:bCs/>
          <w:sz w:val="24"/>
          <w:lang w:eastAsia="zh-CN"/>
        </w:rPr>
      </w:pPr>
    </w:p>
    <w:p w14:paraId="3648568B">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14:paraId="7014F204">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14:paraId="40F79020">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w:t>
      </w:r>
      <w:r>
        <w:rPr>
          <w:rFonts w:hint="eastAsia"/>
          <w:b/>
          <w:bCs/>
          <w:sz w:val="24"/>
          <w:lang w:eastAsia="zh-CN"/>
        </w:rPr>
        <w:t>资格性、</w:t>
      </w:r>
      <w:r>
        <w:rPr>
          <w:rFonts w:hint="eastAsia"/>
          <w:b/>
          <w:bCs/>
          <w:sz w:val="24"/>
        </w:rPr>
        <w:t>符合性审查</w:t>
      </w:r>
    </w:p>
    <w:tbl>
      <w:tblPr>
        <w:tblStyle w:val="10"/>
        <w:tblW w:w="10080" w:type="dxa"/>
        <w:tblInd w:w="93" w:type="dxa"/>
        <w:tblLayout w:type="fixed"/>
        <w:tblCellMar>
          <w:top w:w="0" w:type="dxa"/>
          <w:left w:w="108" w:type="dxa"/>
          <w:bottom w:w="0" w:type="dxa"/>
          <w:right w:w="108" w:type="dxa"/>
        </w:tblCellMar>
      </w:tblPr>
      <w:tblGrid>
        <w:gridCol w:w="1080"/>
        <w:gridCol w:w="2440"/>
        <w:gridCol w:w="6560"/>
      </w:tblGrid>
      <w:tr w14:paraId="07EC4112">
        <w:tblPrEx>
          <w:tblCellMar>
            <w:top w:w="0" w:type="dxa"/>
            <w:left w:w="108" w:type="dxa"/>
            <w:bottom w:w="0" w:type="dxa"/>
            <w:right w:w="108" w:type="dxa"/>
          </w:tblCellMar>
        </w:tblPrEx>
        <w:trPr>
          <w:trHeight w:val="43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ACB574C">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14:paraId="650E3EDA">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14:paraId="33D26368">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14:paraId="203F45C6">
        <w:tblPrEx>
          <w:tblCellMar>
            <w:top w:w="0" w:type="dxa"/>
            <w:left w:w="108" w:type="dxa"/>
            <w:bottom w:w="0" w:type="dxa"/>
            <w:right w:w="108" w:type="dxa"/>
          </w:tblCellMar>
        </w:tblPrEx>
        <w:trPr>
          <w:trHeight w:val="647"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A9E189">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资格评审标准</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70A24ADA">
            <w:pPr>
              <w:widowControl/>
              <w:jc w:val="center"/>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营业执照要求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031424E8">
            <w:pPr>
              <w:widowControl/>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themeColor="text1"/>
                <w:kern w:val="0"/>
                <w:sz w:val="21"/>
                <w:szCs w:val="21"/>
                <w:lang w:val="en-US" w:eastAsia="zh-CN"/>
                <w14:textFill>
                  <w14:solidFill>
                    <w14:schemeClr w14:val="tx1"/>
                  </w14:solidFill>
                </w14:textFill>
              </w:rPr>
              <w:t>投标方具备有效的营业执照</w:t>
            </w:r>
            <w:r>
              <w:rPr>
                <w:rFonts w:hint="default"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投标</w:t>
            </w:r>
            <w:r>
              <w:rPr>
                <w:rFonts w:hint="default" w:ascii="宋体" w:hAnsi="宋体" w:eastAsia="宋体" w:cs="宋体"/>
                <w:color w:val="000000" w:themeColor="text1"/>
                <w:kern w:val="0"/>
                <w:sz w:val="21"/>
                <w:szCs w:val="21"/>
                <w:lang w:val="en-US" w:eastAsia="zh-CN"/>
                <w14:textFill>
                  <w14:solidFill>
                    <w14:schemeClr w14:val="tx1"/>
                  </w14:solidFill>
                </w14:textFill>
              </w:rPr>
              <w:t>文件</w:t>
            </w:r>
            <w:r>
              <w:rPr>
                <w:rFonts w:hint="eastAsia" w:ascii="宋体" w:hAnsi="宋体" w:eastAsia="宋体" w:cs="宋体"/>
                <w:color w:val="000000" w:themeColor="text1"/>
                <w:kern w:val="0"/>
                <w:sz w:val="21"/>
                <w:szCs w:val="21"/>
                <w:lang w:val="en-US" w:eastAsia="zh-CN"/>
                <w14:textFill>
                  <w14:solidFill>
                    <w14:schemeClr w14:val="tx1"/>
                  </w14:solidFill>
                </w14:textFill>
              </w:rPr>
              <w:t>需</w:t>
            </w:r>
            <w:r>
              <w:rPr>
                <w:rFonts w:hint="default" w:ascii="宋体" w:hAnsi="宋体" w:eastAsia="宋体" w:cs="宋体"/>
                <w:color w:val="000000" w:themeColor="text1"/>
                <w:kern w:val="0"/>
                <w:sz w:val="21"/>
                <w:szCs w:val="21"/>
                <w:lang w:val="en-US" w:eastAsia="zh-CN"/>
                <w14:textFill>
                  <w14:solidFill>
                    <w14:schemeClr w14:val="tx1"/>
                  </w14:solidFill>
                </w14:textFill>
              </w:rPr>
              <w:t>附</w:t>
            </w:r>
            <w:r>
              <w:rPr>
                <w:rFonts w:hint="eastAsia" w:ascii="宋体" w:hAnsi="宋体" w:eastAsia="宋体" w:cs="宋体"/>
                <w:color w:val="000000" w:themeColor="text1"/>
                <w:kern w:val="0"/>
                <w:sz w:val="21"/>
                <w:szCs w:val="21"/>
                <w:lang w:val="en-US" w:eastAsia="zh-CN"/>
                <w14:textFill>
                  <w14:solidFill>
                    <w14:schemeClr w14:val="tx1"/>
                  </w14:solidFill>
                </w14:textFill>
              </w:rPr>
              <w:t>营业执照复印件</w:t>
            </w:r>
            <w:r>
              <w:rPr>
                <w:rFonts w:hint="default"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w:t>
            </w:r>
          </w:p>
        </w:tc>
      </w:tr>
      <w:tr w14:paraId="1DD18FC4">
        <w:tblPrEx>
          <w:tblCellMar>
            <w:top w:w="0" w:type="dxa"/>
            <w:left w:w="108" w:type="dxa"/>
            <w:bottom w:w="0" w:type="dxa"/>
            <w:right w:w="108" w:type="dxa"/>
          </w:tblCellMar>
        </w:tblPrEx>
        <w:trPr>
          <w:trHeight w:val="79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817475">
            <w:pPr>
              <w:widowControl/>
              <w:jc w:val="center"/>
              <w:rPr>
                <w:rFonts w:hint="eastAsia" w:ascii="宋体" w:hAnsi="宋体" w:cs="宋体"/>
                <w:b/>
                <w:bCs/>
                <w:color w:val="000000"/>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0423887D">
            <w:pPr>
              <w:widowControl/>
              <w:ind w:firstLine="632" w:firstLineChars="300"/>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资质要求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63AE0297">
            <w:pPr>
              <w:widowControl/>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投标人须具备建设行政主管部门颁发的【房屋建筑工程专业监理】乙级（含）以上资质或【工程监理综合资质】或【建筑工程专业监理】乙级（含）以上资质</w:t>
            </w:r>
            <w:r>
              <w:rPr>
                <w:rFonts w:hint="eastAsia" w:ascii="宋体" w:hAnsi="宋体" w:eastAsia="宋体" w:cs="宋体"/>
                <w:color w:val="000000" w:themeColor="text1"/>
                <w:kern w:val="0"/>
                <w:sz w:val="21"/>
                <w:szCs w:val="21"/>
                <w:lang w:val="en-US" w:eastAsia="zh-CN"/>
                <w14:textFill>
                  <w14:solidFill>
                    <w14:schemeClr w14:val="tx1"/>
                  </w14:solidFill>
                </w14:textFill>
              </w:rPr>
              <w:t>，并在人员、设备、资金等方面具有相应的能力（投标文件须附资质证书复印件）。</w:t>
            </w:r>
          </w:p>
        </w:tc>
      </w:tr>
      <w:tr w14:paraId="23EF857E">
        <w:tblPrEx>
          <w:tblCellMar>
            <w:top w:w="0" w:type="dxa"/>
            <w:left w:w="108" w:type="dxa"/>
            <w:bottom w:w="0" w:type="dxa"/>
            <w:right w:w="108" w:type="dxa"/>
          </w:tblCellMar>
        </w:tblPrEx>
        <w:trPr>
          <w:trHeight w:val="3397"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E62312">
            <w:pPr>
              <w:widowControl/>
              <w:jc w:val="center"/>
              <w:rPr>
                <w:rFonts w:hint="eastAsia" w:ascii="宋体" w:hAnsi="宋体" w:cs="宋体"/>
                <w:b/>
                <w:bCs/>
                <w:color w:val="000000"/>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4809CA5F">
            <w:pPr>
              <w:widowControl/>
              <w:jc w:val="center"/>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信誉要求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1A706065">
            <w:pPr>
              <w:widowControl/>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（1）投标人不得存在下列情形之一： </w:t>
            </w:r>
          </w:p>
          <w:p w14:paraId="509CB484">
            <w:pPr>
              <w:widowControl/>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①正处于被责令停业，投标资格被暂停或取消</w:t>
            </w:r>
            <w:r>
              <w:rPr>
                <w:rFonts w:hint="eastAsia" w:ascii="宋体" w:hAnsi="宋体" w:cs="宋体"/>
                <w:color w:val="000000" w:themeColor="text1"/>
                <w:kern w:val="0"/>
                <w:sz w:val="21"/>
                <w:szCs w:val="21"/>
                <w:lang w:val="en-US" w:eastAsia="zh-CN"/>
                <w14:textFill>
                  <w14:solidFill>
                    <w14:schemeClr w14:val="tx1"/>
                  </w14:solidFill>
                </w14:textFill>
              </w:rPr>
              <w:t>；</w:t>
            </w:r>
          </w:p>
          <w:p w14:paraId="1F4447C3">
            <w:pPr>
              <w:widowControl/>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②近年（202</w:t>
            </w:r>
            <w:r>
              <w:rPr>
                <w:rFonts w:hint="eastAsia" w:ascii="宋体" w:hAnsi="宋体" w:cs="宋体"/>
                <w:color w:val="000000" w:themeColor="text1"/>
                <w:kern w:val="0"/>
                <w:sz w:val="21"/>
                <w:szCs w:val="21"/>
                <w:lang w:val="en-US" w:eastAsia="zh-CN"/>
                <w14:textFill>
                  <w14:solidFill>
                    <w14:schemeClr w14:val="tx1"/>
                  </w14:solidFill>
                </w14:textFill>
              </w:rPr>
              <w:t>2</w:t>
            </w:r>
            <w:r>
              <w:rPr>
                <w:rFonts w:hint="eastAsia" w:ascii="宋体" w:hAnsi="宋体" w:eastAsia="宋体" w:cs="宋体"/>
                <w:color w:val="000000" w:themeColor="text1"/>
                <w:kern w:val="0"/>
                <w:sz w:val="21"/>
                <w:szCs w:val="21"/>
                <w:lang w:val="en-US" w:eastAsia="zh-CN"/>
                <w14:textFill>
                  <w14:solidFill>
                    <w14:schemeClr w14:val="tx1"/>
                  </w14:solidFill>
                </w14:textFill>
              </w:rPr>
              <w:t>年1月1日至今）内有骗取中标和严重违约及</w:t>
            </w:r>
            <w:r>
              <w:rPr>
                <w:rFonts w:hint="eastAsia"/>
                <w:color w:val="000000" w:themeColor="text1"/>
                <w:highlight w:val="none"/>
                <w:lang w:eastAsia="zh-CN"/>
                <w14:textFill>
                  <w14:solidFill>
                    <w14:schemeClr w14:val="tx1"/>
                  </w14:solidFill>
                </w14:textFill>
              </w:rPr>
              <w:t>重大工程质量问题</w:t>
            </w:r>
            <w:r>
              <w:rPr>
                <w:rFonts w:hint="eastAsia" w:ascii="宋体" w:hAnsi="宋体" w:eastAsia="宋体" w:cs="宋体"/>
                <w:color w:val="000000" w:themeColor="text1"/>
                <w:kern w:val="0"/>
                <w:sz w:val="21"/>
                <w:szCs w:val="21"/>
                <w:lang w:val="en-US" w:eastAsia="zh-CN"/>
                <w14:textFill>
                  <w14:solidFill>
                    <w14:schemeClr w14:val="tx1"/>
                  </w14:solidFill>
                </w14:textFill>
              </w:rPr>
              <w:t>；（投标文件需附相关承诺书并加盖公章，格式详见比选文件中投标文件格式；新注册企业提供从公司</w:t>
            </w:r>
            <w:r>
              <w:rPr>
                <w:rFonts w:hint="eastAsia" w:ascii="宋体" w:hAnsi="宋体" w:cs="宋体"/>
                <w:color w:val="000000" w:themeColor="text1"/>
                <w:kern w:val="0"/>
                <w:sz w:val="21"/>
                <w:szCs w:val="21"/>
                <w:lang w:val="en-US" w:eastAsia="zh-CN"/>
                <w14:textFill>
                  <w14:solidFill>
                    <w14:schemeClr w14:val="tx1"/>
                  </w14:solidFill>
                </w14:textFill>
              </w:rPr>
              <w:t>注册</w:t>
            </w:r>
            <w:r>
              <w:rPr>
                <w:rFonts w:hint="eastAsia" w:ascii="宋体" w:hAnsi="宋体" w:eastAsia="宋体" w:cs="宋体"/>
                <w:color w:val="000000" w:themeColor="text1"/>
                <w:kern w:val="0"/>
                <w:sz w:val="21"/>
                <w:szCs w:val="21"/>
                <w:lang w:val="en-US" w:eastAsia="zh-CN"/>
                <w14:textFill>
                  <w14:solidFill>
                    <w14:schemeClr w14:val="tx1"/>
                  </w14:solidFill>
                </w14:textFill>
              </w:rPr>
              <w:t>年度至今的承诺书）。</w:t>
            </w:r>
          </w:p>
          <w:p w14:paraId="7C23ED7A">
            <w:pPr>
              <w:widowControl/>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（2）在“信用中国”网站（http://www.creditchina.gov.cn/）或“中国执行信息公开网（http://zxgk.court.gov.cn/shixin/）”中未被列入“失信被执行人名单”，（投标文件须附网页查询结果截图）。 </w:t>
            </w:r>
          </w:p>
          <w:p w14:paraId="1580D435">
            <w:pPr>
              <w:widowControl/>
              <w:rPr>
                <w:rFonts w:hint="eastAsia" w:ascii="宋体" w:hAnsi="宋体" w:cs="宋体"/>
                <w:color w:val="000000" w:themeColor="text1"/>
                <w:kern w:val="0"/>
                <w:sz w:val="21"/>
                <w:szCs w:val="21"/>
                <w:highlight w:val="yellow"/>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（3）在“国家企业信用信息公示系统”（http://www.gsxt.gov.cn/）中未被列入“严重违法失信企业名单”。（投标文件需附网页查询结果截图）</w:t>
            </w:r>
            <w:r>
              <w:rPr>
                <w:rFonts w:hint="eastAsia" w:ascii="宋体" w:hAnsi="宋体" w:cs="宋体"/>
                <w:color w:val="000000" w:themeColor="text1"/>
                <w:kern w:val="0"/>
                <w:sz w:val="21"/>
                <w:szCs w:val="21"/>
                <w:lang w:val="en-US" w:eastAsia="zh-CN"/>
                <w14:textFill>
                  <w14:solidFill>
                    <w14:schemeClr w14:val="tx1"/>
                  </w14:solidFill>
                </w14:textFill>
              </w:rPr>
              <w:t>。</w:t>
            </w:r>
          </w:p>
        </w:tc>
      </w:tr>
      <w:tr w14:paraId="726B88D6">
        <w:tblPrEx>
          <w:tblCellMar>
            <w:top w:w="0" w:type="dxa"/>
            <w:left w:w="108" w:type="dxa"/>
            <w:bottom w:w="0" w:type="dxa"/>
            <w:right w:w="108" w:type="dxa"/>
          </w:tblCellMar>
        </w:tblPrEx>
        <w:trPr>
          <w:trHeight w:val="119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76ED43">
            <w:pPr>
              <w:widowControl/>
              <w:jc w:val="center"/>
              <w:rPr>
                <w:rFonts w:ascii="宋体" w:hAnsi="宋体" w:cs="宋体"/>
                <w:b/>
                <w:bCs/>
                <w:color w:val="000000"/>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55D946B9">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财务要求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165E57A2">
            <w:pPr>
              <w:widowControl/>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近年（202</w:t>
            </w:r>
            <w:r>
              <w:rPr>
                <w:rFonts w:hint="eastAsia" w:ascii="宋体" w:hAnsi="宋体" w:cs="宋体"/>
                <w:color w:val="000000" w:themeColor="text1"/>
                <w:kern w:val="0"/>
                <w:sz w:val="21"/>
                <w:szCs w:val="21"/>
                <w:lang w:val="en-US" w:eastAsia="zh-CN"/>
                <w14:textFill>
                  <w14:solidFill>
                    <w14:schemeClr w14:val="tx1"/>
                  </w14:solidFill>
                </w14:textFill>
              </w:rPr>
              <w:t>2</w:t>
            </w:r>
            <w:r>
              <w:rPr>
                <w:rFonts w:hint="eastAsia" w:ascii="宋体" w:hAnsi="宋体" w:eastAsia="宋体" w:cs="宋体"/>
                <w:color w:val="000000" w:themeColor="text1"/>
                <w:kern w:val="0"/>
                <w:sz w:val="21"/>
                <w:szCs w:val="21"/>
                <w:lang w:val="en-US" w:eastAsia="zh-CN"/>
                <w14:textFill>
                  <w14:solidFill>
                    <w14:schemeClr w14:val="tx1"/>
                  </w14:solidFill>
                </w14:textFill>
              </w:rPr>
              <w:t>年1月1日至今）财务状况良好，没有处于财产被接管、破产或其他关、停、并、转状态（投标文件需附相关承诺并加盖公章，新</w:t>
            </w:r>
            <w:r>
              <w:rPr>
                <w:rFonts w:hint="eastAsia" w:ascii="宋体" w:hAnsi="宋体" w:cs="宋体"/>
                <w:color w:val="000000" w:themeColor="text1"/>
                <w:kern w:val="0"/>
                <w:sz w:val="21"/>
                <w:szCs w:val="21"/>
                <w:lang w:val="en-US" w:eastAsia="zh-CN"/>
                <w14:textFill>
                  <w14:solidFill>
                    <w14:schemeClr w14:val="tx1"/>
                  </w14:solidFill>
                </w14:textFill>
              </w:rPr>
              <w:t>注册</w:t>
            </w:r>
            <w:r>
              <w:rPr>
                <w:rFonts w:hint="eastAsia" w:ascii="宋体" w:hAnsi="宋体" w:eastAsia="宋体" w:cs="宋体"/>
                <w:color w:val="000000" w:themeColor="text1"/>
                <w:kern w:val="0"/>
                <w:sz w:val="21"/>
                <w:szCs w:val="21"/>
                <w:lang w:val="en-US" w:eastAsia="zh-CN"/>
                <w14:textFill>
                  <w14:solidFill>
                    <w14:schemeClr w14:val="tx1"/>
                  </w14:solidFill>
                </w14:textFill>
              </w:rPr>
              <w:t>的企业，需提供</w:t>
            </w:r>
            <w:r>
              <w:rPr>
                <w:rFonts w:hint="eastAsia" w:ascii="宋体" w:hAnsi="宋体" w:cs="宋体"/>
                <w:color w:val="000000" w:themeColor="text1"/>
                <w:kern w:val="0"/>
                <w:sz w:val="21"/>
                <w:szCs w:val="21"/>
                <w:lang w:val="en-US" w:eastAsia="zh-CN"/>
                <w14:textFill>
                  <w14:solidFill>
                    <w14:schemeClr w14:val="tx1"/>
                  </w14:solidFill>
                </w14:textFill>
              </w:rPr>
              <w:t>注册年度</w:t>
            </w:r>
            <w:r>
              <w:rPr>
                <w:rFonts w:hint="eastAsia" w:ascii="宋体" w:hAnsi="宋体" w:eastAsia="宋体" w:cs="宋体"/>
                <w:color w:val="000000" w:themeColor="text1"/>
                <w:kern w:val="0"/>
                <w:sz w:val="21"/>
                <w:szCs w:val="21"/>
                <w:lang w:val="en-US" w:eastAsia="zh-CN"/>
                <w14:textFill>
                  <w14:solidFill>
                    <w14:schemeClr w14:val="tx1"/>
                  </w14:solidFill>
                </w14:textFill>
              </w:rPr>
              <w:t>至今的承诺书，格式详见比选文件中投标文件格式）</w:t>
            </w:r>
            <w:r>
              <w:rPr>
                <w:rFonts w:hint="eastAsia" w:ascii="宋体" w:hAnsi="宋体" w:cs="宋体"/>
                <w:color w:val="000000" w:themeColor="text1"/>
                <w:kern w:val="0"/>
                <w:sz w:val="21"/>
                <w:szCs w:val="21"/>
                <w:lang w:val="en-US" w:eastAsia="zh-CN"/>
                <w14:textFill>
                  <w14:solidFill>
                    <w14:schemeClr w14:val="tx1"/>
                  </w14:solidFill>
                </w14:textFill>
              </w:rPr>
              <w:t>。</w:t>
            </w:r>
          </w:p>
        </w:tc>
      </w:tr>
      <w:tr w14:paraId="37A42A92">
        <w:tblPrEx>
          <w:tblCellMar>
            <w:top w:w="0" w:type="dxa"/>
            <w:left w:w="108" w:type="dxa"/>
            <w:bottom w:w="0" w:type="dxa"/>
            <w:right w:w="108" w:type="dxa"/>
          </w:tblCellMar>
        </w:tblPrEx>
        <w:trPr>
          <w:trHeight w:val="1016"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DB9687">
            <w:pPr>
              <w:widowControl/>
              <w:jc w:val="center"/>
              <w:rPr>
                <w:rFonts w:ascii="宋体" w:hAnsi="宋体" w:cs="宋体"/>
                <w:b/>
                <w:bCs/>
                <w:color w:val="000000"/>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75ECEE14">
            <w:pPr>
              <w:widowControl/>
              <w:jc w:val="center"/>
              <w:rPr>
                <w:rFonts w:hint="default" w:ascii="宋体" w:hAnsi="宋体" w:cs="宋体"/>
                <w:b/>
                <w:bCs/>
                <w:color w:val="000000"/>
                <w:kern w:val="0"/>
                <w:sz w:val="21"/>
                <w:szCs w:val="21"/>
                <w:lang w:val="en-US"/>
              </w:rPr>
            </w:pPr>
            <w:r>
              <w:rPr>
                <w:rFonts w:hint="eastAsia" w:ascii="宋体" w:hAnsi="宋体" w:cs="宋体"/>
                <w:b/>
                <w:bCs/>
                <w:color w:val="000000"/>
                <w:kern w:val="0"/>
                <w:sz w:val="21"/>
                <w:szCs w:val="21"/>
                <w:lang w:val="en-US" w:eastAsia="zh-CN"/>
              </w:rPr>
              <w:t>项目负责人          （总监理工程师）</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3DA93427">
            <w:pPr>
              <w:widowControl/>
              <w:rPr>
                <w:rFonts w:hint="eastAsia" w:ascii="宋体" w:hAnsi="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拟派项目总监理工程师须具备房屋建筑工程专业国家注册监理工程师资格，必须在本公司注册，</w:t>
            </w:r>
            <w:r>
              <w:rPr>
                <w:rFonts w:hint="eastAsia" w:ascii="宋体" w:hAnsi="宋体" w:cs="宋体"/>
                <w:color w:val="000000" w:themeColor="text1"/>
                <w:kern w:val="0"/>
                <w:sz w:val="21"/>
                <w:szCs w:val="21"/>
                <w:highlight w:val="none"/>
                <w:lang w:val="en-US" w:eastAsia="zh-CN"/>
                <w14:textFill>
                  <w14:solidFill>
                    <w14:schemeClr w14:val="tx1"/>
                  </w14:solidFill>
                </w14:textFill>
              </w:rPr>
              <w:t>且在有效期内（投标文件须附资格证和注册证书复印件）</w:t>
            </w:r>
          </w:p>
        </w:tc>
      </w:tr>
      <w:tr w14:paraId="0E0FB83C">
        <w:tblPrEx>
          <w:tblCellMar>
            <w:top w:w="0" w:type="dxa"/>
            <w:left w:w="108" w:type="dxa"/>
            <w:bottom w:w="0" w:type="dxa"/>
            <w:right w:w="108" w:type="dxa"/>
          </w:tblCellMar>
        </w:tblPrEx>
        <w:trPr>
          <w:trHeight w:val="68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2BA342">
            <w:pPr>
              <w:widowControl/>
              <w:jc w:val="center"/>
              <w:rPr>
                <w:rFonts w:ascii="宋体" w:hAnsi="宋体" w:cs="宋体"/>
                <w:b/>
                <w:bCs/>
                <w:color w:val="000000"/>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2F78145D">
            <w:pPr>
              <w:widowControl/>
              <w:jc w:val="center"/>
              <w:rPr>
                <w:rFonts w:hint="eastAsia" w:ascii="宋体" w:hAnsi="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其他人员要求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4940D119">
            <w:pPr>
              <w:widowControl/>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（1）专业监理工程师配备：至少</w:t>
            </w:r>
            <w:r>
              <w:rPr>
                <w:rFonts w:hint="eastAsia" w:ascii="宋体" w:hAnsi="宋体" w:cs="宋体"/>
                <w:color w:val="000000" w:themeColor="text1"/>
                <w:kern w:val="0"/>
                <w:sz w:val="21"/>
                <w:szCs w:val="21"/>
                <w:lang w:val="en-US" w:eastAsia="zh-CN"/>
                <w14:textFill>
                  <w14:solidFill>
                    <w14:schemeClr w14:val="tx1"/>
                  </w14:solidFill>
                </w14:textFill>
              </w:rPr>
              <w:t>需</w:t>
            </w:r>
            <w:r>
              <w:rPr>
                <w:rFonts w:hint="default" w:ascii="宋体" w:hAnsi="宋体" w:eastAsia="宋体" w:cs="宋体"/>
                <w:color w:val="000000" w:themeColor="text1"/>
                <w:kern w:val="0"/>
                <w:sz w:val="21"/>
                <w:szCs w:val="21"/>
                <w:lang w:val="en-US" w:eastAsia="zh-CN"/>
                <w14:textFill>
                  <w14:solidFill>
                    <w14:schemeClr w14:val="tx1"/>
                  </w14:solidFill>
                </w14:textFill>
              </w:rPr>
              <w:t>配备 3名专业监理工程师（房屋建筑工程专业监理工程师1名，给排水工程专业或暖通工程专业监理工程师1名，电气工程专业监理工程师1名）；</w:t>
            </w:r>
          </w:p>
          <w:p w14:paraId="7C139956">
            <w:pPr>
              <w:widowControl/>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（2</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）专职安全监理人员配备：</w:t>
            </w:r>
            <w:r>
              <w:rPr>
                <w:rFonts w:hint="eastAsia" w:ascii="宋体" w:hAnsi="宋体" w:cs="宋体"/>
                <w:color w:val="000000" w:themeColor="text1"/>
                <w:kern w:val="0"/>
                <w:sz w:val="21"/>
                <w:szCs w:val="21"/>
                <w:highlight w:val="none"/>
                <w:lang w:val="en-US" w:eastAsia="zh-CN"/>
                <w14:textFill>
                  <w14:solidFill>
                    <w14:schemeClr w14:val="tx1"/>
                  </w14:solidFill>
                </w14:textFill>
              </w:rPr>
              <w:t>需</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配备1名专职安全监理人员；</w:t>
            </w:r>
          </w:p>
          <w:p w14:paraId="79C7F0C8">
            <w:pPr>
              <w:widowControl/>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（3）</w:t>
            </w:r>
            <w:r>
              <w:rPr>
                <w:rFonts w:hint="default" w:ascii="宋体" w:hAnsi="宋体" w:eastAsia="宋体" w:cs="宋体"/>
                <w:color w:val="000000" w:themeColor="text1"/>
                <w:kern w:val="0"/>
                <w:sz w:val="21"/>
                <w:szCs w:val="21"/>
                <w:lang w:val="en-US" w:eastAsia="zh-CN"/>
                <w14:textFill>
                  <w14:solidFill>
                    <w14:schemeClr w14:val="tx1"/>
                  </w14:solidFill>
                </w14:textFill>
              </w:rPr>
              <w:t>上述人员必须为本公司人员且证明资料在有效期内，并在投标文件中附以下资料：</w:t>
            </w:r>
          </w:p>
          <w:p w14:paraId="49C5FD2E">
            <w:pPr>
              <w:widowControl/>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①专业以资格证书或岗位证书为准，如上述证件未注明专业的则需要同时提供相关专业的职称证书</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，专职安全监理人员须提供监理资格证书或岗位证书（不限专业）</w:t>
            </w:r>
            <w:r>
              <w:rPr>
                <w:rFonts w:hint="eastAsia" w:ascii="宋体" w:hAnsi="宋体" w:cs="宋体"/>
                <w:color w:val="000000" w:themeColor="text1"/>
                <w:kern w:val="0"/>
                <w:sz w:val="21"/>
                <w:szCs w:val="21"/>
                <w:highlight w:val="none"/>
                <w:lang w:val="en-US" w:eastAsia="zh-CN"/>
                <w14:textFill>
                  <w14:solidFill>
                    <w14:schemeClr w14:val="tx1"/>
                  </w14:solidFill>
                </w14:textFill>
              </w:rPr>
              <w:t>。</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专业监理工程师可由房屋建筑工程专业国家级注册监理工程师担任；</w:t>
            </w:r>
          </w:p>
          <w:p w14:paraId="14E07DE0">
            <w:pPr>
              <w:widowControl/>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14:textFill>
                  <w14:solidFill>
                    <w14:schemeClr w14:val="tx1"/>
                  </w14:solidFill>
                </w14:textFill>
              </w:rPr>
              <w:t>②除内蒙古自治区</w:t>
            </w:r>
            <w:r>
              <w:rPr>
                <w:rFonts w:hint="eastAsia" w:ascii="宋体" w:hAnsi="宋体" w:cs="宋体"/>
                <w:color w:val="000000" w:themeColor="text1"/>
                <w:kern w:val="0"/>
                <w:sz w:val="21"/>
                <w:szCs w:val="21"/>
                <w:lang w:val="en-US" w:eastAsia="zh-CN"/>
                <w14:textFill>
                  <w14:solidFill>
                    <w14:schemeClr w14:val="tx1"/>
                  </w14:solidFill>
                </w14:textFill>
              </w:rPr>
              <w:t>，</w:t>
            </w:r>
            <w:r>
              <w:rPr>
                <w:rFonts w:hint="default" w:ascii="宋体" w:hAnsi="宋体" w:eastAsia="宋体" w:cs="宋体"/>
                <w:color w:val="000000" w:themeColor="text1"/>
                <w:kern w:val="0"/>
                <w:sz w:val="21"/>
                <w:szCs w:val="21"/>
                <w:lang w:val="en-US" w:eastAsia="zh-CN"/>
                <w14:textFill>
                  <w14:solidFill>
                    <w14:schemeClr w14:val="tx1"/>
                  </w14:solidFill>
                </w14:textFill>
              </w:rPr>
              <w:t>以外的自治区级或省级监理工程师必须保证本地区监理工程师可跨省执业，并提供有效的证明材料，如发证机构文件或网站截图等。</w:t>
            </w:r>
          </w:p>
        </w:tc>
      </w:tr>
      <w:tr w14:paraId="6D8D4C1E">
        <w:tblPrEx>
          <w:tblCellMar>
            <w:top w:w="0" w:type="dxa"/>
            <w:left w:w="108" w:type="dxa"/>
            <w:bottom w:w="0" w:type="dxa"/>
            <w:right w:w="108" w:type="dxa"/>
          </w:tblCellMar>
        </w:tblPrEx>
        <w:trPr>
          <w:trHeight w:val="68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8E93F8">
            <w:pPr>
              <w:widowControl/>
              <w:jc w:val="center"/>
              <w:rPr>
                <w:rFonts w:ascii="宋体" w:hAnsi="宋体" w:cs="宋体"/>
                <w:b/>
                <w:bCs/>
                <w:color w:val="000000"/>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24668832">
            <w:pPr>
              <w:widowControl/>
              <w:jc w:val="center"/>
              <w:rPr>
                <w:rFonts w:hint="eastAsia" w:ascii="宋体" w:hAnsi="宋体" w:eastAsia="宋体" w:cs="宋体"/>
                <w:b/>
                <w:bCs/>
                <w:color w:val="000000"/>
                <w:kern w:val="0"/>
                <w:sz w:val="21"/>
                <w:szCs w:val="21"/>
                <w:lang w:val="en-US" w:eastAsia="zh-CN" w:bidi="ar-SA"/>
              </w:rPr>
            </w:pPr>
            <w:r>
              <w:rPr>
                <w:rFonts w:hint="eastAsia" w:ascii="宋体" w:hAnsi="宋体" w:cs="宋体"/>
                <w:b/>
                <w:bCs/>
                <w:color w:val="000000"/>
                <w:kern w:val="0"/>
                <w:sz w:val="21"/>
                <w:szCs w:val="21"/>
                <w:lang w:val="en-US" w:eastAsia="zh-CN"/>
              </w:rPr>
              <w:t>社保要求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1A869B3C">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以上所有</w:t>
            </w:r>
            <w:r>
              <w:rPr>
                <w:rFonts w:hint="eastAsia" w:ascii="宋体" w:hAnsi="宋体" w:cs="宋体"/>
                <w:color w:val="000000" w:themeColor="text1"/>
                <w:kern w:val="0"/>
                <w:sz w:val="21"/>
                <w:szCs w:val="21"/>
                <w:lang w:val="en-US" w:eastAsia="zh-CN"/>
                <w14:textFill>
                  <w14:solidFill>
                    <w14:schemeClr w14:val="tx1"/>
                  </w14:solidFill>
                </w14:textFill>
              </w:rPr>
              <w:t>配备</w:t>
            </w:r>
            <w:r>
              <w:rPr>
                <w:rFonts w:hint="eastAsia" w:ascii="宋体" w:hAnsi="宋体" w:eastAsia="宋体" w:cs="宋体"/>
                <w:color w:val="000000" w:themeColor="text1"/>
                <w:kern w:val="0"/>
                <w:sz w:val="21"/>
                <w:szCs w:val="21"/>
                <w:lang w:val="en-US" w:eastAsia="zh-CN"/>
                <w14:textFill>
                  <w14:solidFill>
                    <w14:schemeClr w14:val="tx1"/>
                  </w14:solidFill>
                </w14:textFill>
              </w:rPr>
              <w:t>人员（项目负责人及其他人员）年龄不得超过65周岁，须提供递交比选投标文件截止之日前一年内任意一个月的以投标单位所属社保机构出具(新入职人员要求提供入职时至投标截止日期前)的社保缴费证明(并加盖缴费证明专用章)或其他能够证明参加社保的有效证明材料为准，退休人员无需提供社保缴费证明，须提供有效的与聘用单位签订的聘用劳动合同及退休证明（投标文件需附</w:t>
            </w:r>
            <w:r>
              <w:rPr>
                <w:rFonts w:hint="eastAsia" w:ascii="宋体" w:hAnsi="宋体" w:cs="宋体"/>
                <w:color w:val="000000" w:themeColor="text1"/>
                <w:kern w:val="0"/>
                <w:sz w:val="21"/>
                <w:szCs w:val="21"/>
                <w:lang w:val="en-US" w:eastAsia="zh-CN"/>
                <w14:textFill>
                  <w14:solidFill>
                    <w14:schemeClr w14:val="tx1"/>
                  </w14:solidFill>
                </w14:textFill>
              </w:rPr>
              <w:t>相关证明资料</w:t>
            </w:r>
            <w:r>
              <w:rPr>
                <w:rFonts w:hint="eastAsia" w:ascii="宋体" w:hAnsi="宋体" w:eastAsia="宋体" w:cs="宋体"/>
                <w:color w:val="000000" w:themeColor="text1"/>
                <w:kern w:val="0"/>
                <w:sz w:val="21"/>
                <w:szCs w:val="21"/>
                <w:lang w:val="en-US" w:eastAsia="zh-CN"/>
                <w14:textFill>
                  <w14:solidFill>
                    <w14:schemeClr w14:val="tx1"/>
                  </w14:solidFill>
                </w14:textFill>
              </w:rPr>
              <w:t>复印件）</w:t>
            </w:r>
            <w:r>
              <w:rPr>
                <w:rFonts w:hint="eastAsia" w:ascii="宋体" w:hAnsi="宋体" w:cs="宋体"/>
                <w:color w:val="000000" w:themeColor="text1"/>
                <w:kern w:val="0"/>
                <w:sz w:val="21"/>
                <w:szCs w:val="21"/>
                <w:lang w:val="en-US" w:eastAsia="zh-CN"/>
                <w14:textFill>
                  <w14:solidFill>
                    <w14:schemeClr w14:val="tx1"/>
                  </w14:solidFill>
                </w14:textFill>
              </w:rPr>
              <w:t>。</w:t>
            </w:r>
          </w:p>
        </w:tc>
      </w:tr>
      <w:tr w14:paraId="0479EF00">
        <w:tblPrEx>
          <w:tblCellMar>
            <w:top w:w="0" w:type="dxa"/>
            <w:left w:w="108" w:type="dxa"/>
            <w:bottom w:w="0" w:type="dxa"/>
            <w:right w:w="108" w:type="dxa"/>
          </w:tblCellMar>
        </w:tblPrEx>
        <w:trPr>
          <w:trHeight w:val="621" w:hRule="atLeast"/>
        </w:trPr>
        <w:tc>
          <w:tcPr>
            <w:tcW w:w="1080" w:type="dxa"/>
            <w:vMerge w:val="continue"/>
            <w:tcBorders>
              <w:top w:val="single" w:color="auto" w:sz="4" w:space="0"/>
              <w:left w:val="single" w:color="auto" w:sz="4" w:space="0"/>
              <w:right w:val="single" w:color="auto" w:sz="4" w:space="0"/>
            </w:tcBorders>
            <w:shd w:val="clear" w:color="auto" w:fill="auto"/>
            <w:vAlign w:val="center"/>
          </w:tcPr>
          <w:p w14:paraId="43ED8318">
            <w:pPr>
              <w:widowControl/>
              <w:jc w:val="center"/>
              <w:rPr>
                <w:rFonts w:ascii="宋体" w:hAnsi="宋体" w:cs="宋体"/>
                <w:b/>
                <w:bCs/>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4FB0E797">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业绩要求</w:t>
            </w:r>
          </w:p>
        </w:tc>
        <w:tc>
          <w:tcPr>
            <w:tcW w:w="6560" w:type="dxa"/>
            <w:tcBorders>
              <w:top w:val="single" w:color="auto" w:sz="4" w:space="0"/>
              <w:left w:val="nil"/>
              <w:bottom w:val="single" w:color="auto" w:sz="4" w:space="0"/>
              <w:right w:val="single" w:color="auto" w:sz="4" w:space="0"/>
            </w:tcBorders>
            <w:shd w:val="clear" w:color="auto" w:fill="auto"/>
            <w:vAlign w:val="center"/>
          </w:tcPr>
          <w:p w14:paraId="23DC5229">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2023年1月1日至今，至少提供2项单项合同价为10万元（含）以上的建筑工程监理业绩（投标文件需附合同复印件）。 </w:t>
            </w:r>
          </w:p>
        </w:tc>
      </w:tr>
      <w:tr w14:paraId="5EAEF39C">
        <w:tblPrEx>
          <w:tblCellMar>
            <w:top w:w="0" w:type="dxa"/>
            <w:left w:w="108" w:type="dxa"/>
            <w:bottom w:w="0" w:type="dxa"/>
            <w:right w:w="108" w:type="dxa"/>
          </w:tblCellMar>
        </w:tblPrEx>
        <w:trPr>
          <w:trHeight w:val="1554"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A41752">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lang w:eastAsia="zh-CN"/>
              </w:rPr>
              <w:t>符合性</w:t>
            </w:r>
            <w:r>
              <w:rPr>
                <w:rFonts w:hint="eastAsia" w:ascii="宋体" w:hAnsi="宋体" w:cs="宋体"/>
                <w:b/>
                <w:bCs/>
                <w:color w:val="000000"/>
                <w:kern w:val="0"/>
                <w:sz w:val="21"/>
                <w:szCs w:val="21"/>
              </w:rPr>
              <w:t>评审标准</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337EE14F">
            <w:pPr>
              <w:widowControl/>
              <w:jc w:val="center"/>
              <w:rPr>
                <w:rFonts w:hint="eastAsia" w:ascii="宋体" w:hAnsi="宋体" w:eastAsia="宋体" w:cs="宋体"/>
                <w:b/>
                <w:bCs/>
                <w:color w:val="000000"/>
                <w:kern w:val="0"/>
                <w:sz w:val="21"/>
                <w:szCs w:val="21"/>
                <w:lang w:val="en-US" w:eastAsia="zh-CN" w:bidi="ar-SA"/>
              </w:rPr>
            </w:pPr>
            <w:r>
              <w:rPr>
                <w:rFonts w:hint="eastAsia" w:ascii="宋体" w:hAnsi="宋体" w:cs="宋体"/>
                <w:b/>
                <w:bCs/>
                <w:color w:val="000000"/>
                <w:kern w:val="0"/>
                <w:sz w:val="21"/>
                <w:szCs w:val="21"/>
                <w:highlight w:val="none"/>
              </w:rPr>
              <w:t>投标文件规范性</w:t>
            </w:r>
            <w:r>
              <w:rPr>
                <w:rFonts w:hint="eastAsia" w:ascii="宋体" w:hAnsi="宋体" w:cs="宋体"/>
                <w:b/>
                <w:bCs/>
                <w:color w:val="000000"/>
                <w:kern w:val="0"/>
                <w:sz w:val="21"/>
                <w:szCs w:val="21"/>
                <w:highlight w:val="none"/>
                <w:lang w:eastAsia="zh-CN"/>
              </w:rPr>
              <w:t>、符合性</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797D130B">
            <w:pPr>
              <w:widowControl/>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r>
              <w:rPr>
                <w:rFonts w:hint="eastAsia" w:ascii="宋体" w:hAnsi="宋体" w:cs="宋体"/>
                <w:color w:val="000000"/>
                <w:kern w:val="0"/>
                <w:sz w:val="21"/>
                <w:szCs w:val="21"/>
                <w:highlight w:val="none"/>
                <w:lang w:eastAsia="zh-CN"/>
              </w:rPr>
              <w:t>；</w:t>
            </w:r>
          </w:p>
          <w:p w14:paraId="774BF015">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lang w:eastAsia="zh-CN"/>
              </w:rPr>
              <w:t>投标文件</w:t>
            </w:r>
            <w:r>
              <w:rPr>
                <w:rFonts w:hint="eastAsia" w:ascii="宋体" w:hAnsi="宋体" w:cs="宋体"/>
                <w:color w:val="000000"/>
                <w:kern w:val="0"/>
                <w:sz w:val="21"/>
                <w:szCs w:val="21"/>
                <w:highlight w:val="none"/>
              </w:rPr>
              <w:t>的签署、盖章、涂改、删除、插字、公章使用等符合</w:t>
            </w:r>
            <w:r>
              <w:rPr>
                <w:rFonts w:hint="eastAsia" w:ascii="宋体" w:hAnsi="宋体" w:cs="宋体"/>
                <w:color w:val="000000"/>
                <w:kern w:val="0"/>
                <w:sz w:val="21"/>
                <w:szCs w:val="21"/>
                <w:highlight w:val="none"/>
                <w:lang w:eastAsia="zh-CN"/>
              </w:rPr>
              <w:t>比选文件</w:t>
            </w:r>
            <w:r>
              <w:rPr>
                <w:rFonts w:hint="eastAsia" w:ascii="宋体" w:hAnsi="宋体" w:cs="宋体"/>
                <w:color w:val="000000"/>
                <w:kern w:val="0"/>
                <w:sz w:val="21"/>
                <w:szCs w:val="21"/>
                <w:highlight w:val="none"/>
              </w:rPr>
              <w:t>要求；</w:t>
            </w:r>
          </w:p>
          <w:p w14:paraId="1FBAB033">
            <w:pPr>
              <w:widowControl/>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kern w:val="0"/>
                <w:sz w:val="21"/>
                <w:szCs w:val="21"/>
                <w:highlight w:val="none"/>
                <w:lang w:eastAsia="zh-CN"/>
              </w:rPr>
              <w:t>投标</w:t>
            </w:r>
            <w:r>
              <w:rPr>
                <w:rFonts w:hint="eastAsia" w:ascii="宋体" w:hAnsi="宋体" w:cs="宋体"/>
                <w:color w:val="000000"/>
                <w:kern w:val="0"/>
                <w:sz w:val="21"/>
                <w:szCs w:val="21"/>
                <w:highlight w:val="none"/>
              </w:rPr>
              <w:t>文件的格式、目录等符合</w:t>
            </w:r>
            <w:r>
              <w:rPr>
                <w:rFonts w:hint="eastAsia" w:ascii="宋体" w:hAnsi="宋体" w:cs="宋体"/>
                <w:color w:val="000000"/>
                <w:kern w:val="0"/>
                <w:sz w:val="21"/>
                <w:szCs w:val="21"/>
                <w:highlight w:val="none"/>
                <w:lang w:eastAsia="zh-CN"/>
              </w:rPr>
              <w:t>比选</w:t>
            </w:r>
            <w:r>
              <w:rPr>
                <w:rFonts w:hint="eastAsia" w:ascii="宋体" w:hAnsi="宋体" w:cs="宋体"/>
                <w:color w:val="000000"/>
                <w:kern w:val="0"/>
                <w:sz w:val="21"/>
                <w:szCs w:val="21"/>
                <w:highlight w:val="none"/>
              </w:rPr>
              <w:t>文件要求。</w:t>
            </w:r>
          </w:p>
        </w:tc>
      </w:tr>
      <w:tr w14:paraId="299B4E30">
        <w:tblPrEx>
          <w:tblCellMar>
            <w:top w:w="0" w:type="dxa"/>
            <w:left w:w="108" w:type="dxa"/>
            <w:bottom w:w="0" w:type="dxa"/>
            <w:right w:w="108" w:type="dxa"/>
          </w:tblCellMar>
        </w:tblPrEx>
        <w:trPr>
          <w:trHeight w:val="348"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376123">
            <w:pPr>
              <w:widowControl/>
              <w:jc w:val="center"/>
              <w:rPr>
                <w:rFonts w:hint="eastAsia" w:ascii="宋体" w:hAnsi="宋体" w:cs="宋体"/>
                <w:b/>
                <w:bCs/>
                <w:color w:val="000000"/>
                <w:kern w:val="0"/>
                <w:sz w:val="21"/>
                <w:szCs w:val="21"/>
                <w:lang w:eastAsia="zh-CN"/>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6E36C798">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投标报价</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076C8459">
            <w:pPr>
              <w:widowControl/>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sz w:val="21"/>
              </w:rPr>
              <w:t>只有一个有效报价且不高于最高投标限价，分项报价且不高于分项最高投标限价。</w:t>
            </w:r>
          </w:p>
        </w:tc>
      </w:tr>
      <w:tr w14:paraId="3980535C">
        <w:tblPrEx>
          <w:tblCellMar>
            <w:top w:w="0" w:type="dxa"/>
            <w:left w:w="108" w:type="dxa"/>
            <w:bottom w:w="0" w:type="dxa"/>
            <w:right w:w="108" w:type="dxa"/>
          </w:tblCellMar>
        </w:tblPrEx>
        <w:trPr>
          <w:trHeight w:val="60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5E0000">
            <w:pPr>
              <w:widowControl/>
              <w:jc w:val="center"/>
              <w:rPr>
                <w:rFonts w:hint="eastAsia" w:ascii="宋体" w:hAnsi="宋体" w:cs="宋体"/>
                <w:b/>
                <w:bCs/>
                <w:color w:val="000000"/>
                <w:kern w:val="0"/>
                <w:sz w:val="21"/>
                <w:szCs w:val="21"/>
                <w:lang w:eastAsia="zh-CN"/>
              </w:rPr>
            </w:pPr>
            <w:r>
              <w:rPr>
                <w:rFonts w:hint="eastAsia" w:ascii="宋体" w:hAnsi="宋体" w:cs="宋体"/>
                <w:b/>
                <w:bCs/>
                <w:color w:val="000000"/>
                <w:kern w:val="0"/>
                <w:sz w:val="21"/>
                <w:szCs w:val="21"/>
                <w:lang w:eastAsia="zh-CN"/>
              </w:rPr>
              <w:t>、</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1ED6BAA1">
            <w:pPr>
              <w:widowControl/>
              <w:jc w:val="center"/>
              <w:rPr>
                <w:rFonts w:hint="eastAsia" w:ascii="宋体" w:hAnsi="宋体" w:eastAsia="宋体" w:cs="宋体"/>
                <w:b/>
                <w:bCs/>
                <w:color w:val="000000"/>
                <w:kern w:val="0"/>
                <w:sz w:val="21"/>
                <w:szCs w:val="21"/>
                <w:lang w:val="en-US" w:eastAsia="zh-CN" w:bidi="ar-SA"/>
              </w:rPr>
            </w:pPr>
            <w:r>
              <w:rPr>
                <w:rFonts w:hint="eastAsia" w:ascii="宋体" w:hAnsi="宋体" w:cs="宋体"/>
                <w:b/>
                <w:bCs/>
                <w:color w:val="000000"/>
                <w:kern w:val="0"/>
                <w:sz w:val="21"/>
                <w:szCs w:val="21"/>
                <w:lang w:val="en-US" w:eastAsia="zh-CN"/>
              </w:rPr>
              <w:t>服务范围及内容</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470A2B67">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服务范围包括</w:t>
            </w:r>
            <w:r>
              <w:rPr>
                <w:rFonts w:hint="eastAsia" w:ascii="宋体" w:hAnsi="宋体" w:eastAsia="宋体" w:cs="宋体"/>
                <w:sz w:val="21"/>
                <w:lang w:val="en-US" w:eastAsia="zh-CN"/>
              </w:rPr>
              <w:t>鄂尔多斯职业学院教育场所校园基础设施等维修工程（计划维修内容为操场维修，屋面维修，外墙维修，换热站维修，外管线维修等）和鄂尔多斯市财政局金财大厦维修工程（计划维修内容为办公楼窗户胶条年久老化维修）。</w:t>
            </w:r>
          </w:p>
          <w:p w14:paraId="7DB983B9">
            <w:pPr>
              <w:widowControl/>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auto"/>
                <w:kern w:val="0"/>
                <w:sz w:val="21"/>
                <w:szCs w:val="21"/>
                <w:highlight w:val="none"/>
                <w:lang w:val="en-US" w:eastAsia="zh-CN"/>
              </w:rPr>
              <w:t>服务内</w:t>
            </w:r>
            <w:bookmarkStart w:id="0" w:name="_GoBack"/>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容</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为上述项目维修全过程中的全部监理内容，包括服务项目的施工及保修阶段的质量、进度、安全监督管理、工程变更及工程进度款的审核、农民工工资支付发放审核、竣工验收资料备案及归档的审核、质保期内参与回访、合同及信息等方面的协调管理、文明施工等工作。</w:t>
            </w:r>
            <w:bookmarkEnd w:id="0"/>
          </w:p>
        </w:tc>
      </w:tr>
      <w:tr w14:paraId="13537C8B">
        <w:tblPrEx>
          <w:tblCellMar>
            <w:top w:w="0" w:type="dxa"/>
            <w:left w:w="108" w:type="dxa"/>
            <w:bottom w:w="0" w:type="dxa"/>
            <w:right w:w="108" w:type="dxa"/>
          </w:tblCellMar>
        </w:tblPrEx>
        <w:trPr>
          <w:trHeight w:val="470" w:hRule="atLeast"/>
        </w:trPr>
        <w:tc>
          <w:tcPr>
            <w:tcW w:w="1080" w:type="dxa"/>
            <w:vMerge w:val="continue"/>
            <w:tcBorders>
              <w:top w:val="single" w:color="auto" w:sz="4" w:space="0"/>
              <w:left w:val="single" w:color="auto" w:sz="4" w:space="0"/>
              <w:right w:val="single" w:color="auto" w:sz="4" w:space="0"/>
            </w:tcBorders>
            <w:shd w:val="clear" w:color="auto" w:fill="auto"/>
            <w:vAlign w:val="center"/>
          </w:tcPr>
          <w:p w14:paraId="5F304007">
            <w:pPr>
              <w:widowControl/>
              <w:jc w:val="center"/>
              <w:rPr>
                <w:rFonts w:hint="eastAsia"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35622A36">
            <w:pPr>
              <w:widowControl/>
              <w:ind w:firstLine="632" w:firstLineChars="300"/>
              <w:rPr>
                <w:rFonts w:hint="eastAsia" w:ascii="宋体" w:hAnsi="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监理服务期</w:t>
            </w:r>
          </w:p>
        </w:tc>
        <w:tc>
          <w:tcPr>
            <w:tcW w:w="6560" w:type="dxa"/>
            <w:tcBorders>
              <w:top w:val="single" w:color="auto" w:sz="4" w:space="0"/>
              <w:left w:val="nil"/>
              <w:bottom w:val="single" w:color="auto" w:sz="4" w:space="0"/>
              <w:right w:val="single" w:color="auto" w:sz="4" w:space="0"/>
            </w:tcBorders>
            <w:shd w:val="clear" w:color="000000" w:fill="FFFFFF"/>
            <w:vAlign w:val="center"/>
          </w:tcPr>
          <w:p w14:paraId="598107CD">
            <w:pPr>
              <w:widowControl/>
              <w:rPr>
                <w:rFonts w:hint="eastAsia" w:ascii="宋体" w:hAnsi="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服务期</w:t>
            </w:r>
            <w:r>
              <w:rPr>
                <w:rFonts w:hint="default" w:ascii="宋体" w:hAnsi="宋体" w:eastAsia="宋体" w:cs="宋体"/>
                <w:color w:val="000000"/>
                <w:kern w:val="0"/>
                <w:sz w:val="21"/>
                <w:szCs w:val="21"/>
                <w:lang w:val="en-US" w:eastAsia="zh-CN"/>
              </w:rPr>
              <w:t>为</w:t>
            </w:r>
            <w:r>
              <w:rPr>
                <w:rFonts w:hint="eastAsia" w:ascii="宋体" w:hAnsi="宋体" w:eastAsia="宋体" w:cs="宋体"/>
                <w:color w:val="000000"/>
                <w:kern w:val="0"/>
                <w:sz w:val="21"/>
                <w:szCs w:val="21"/>
                <w:lang w:val="en-US" w:eastAsia="zh-CN"/>
              </w:rPr>
              <w:t>监理合同签订</w:t>
            </w:r>
            <w:r>
              <w:rPr>
                <w:rFonts w:hint="default" w:ascii="宋体" w:hAnsi="宋体" w:eastAsia="宋体" w:cs="宋体"/>
                <w:color w:val="000000"/>
                <w:kern w:val="0"/>
                <w:sz w:val="21"/>
                <w:szCs w:val="21"/>
                <w:lang w:val="en-US" w:eastAsia="zh-CN"/>
              </w:rPr>
              <w:t>之日起至</w:t>
            </w:r>
            <w:r>
              <w:rPr>
                <w:rFonts w:hint="eastAsia" w:ascii="宋体" w:hAnsi="宋体" w:eastAsia="宋体" w:cs="宋体"/>
                <w:color w:val="000000"/>
                <w:kern w:val="0"/>
                <w:sz w:val="21"/>
                <w:szCs w:val="21"/>
                <w:lang w:val="en-US" w:eastAsia="zh-CN"/>
              </w:rPr>
              <w:t>工程项目</w:t>
            </w:r>
            <w:r>
              <w:rPr>
                <w:rFonts w:hint="default" w:ascii="宋体" w:hAnsi="宋体" w:eastAsia="宋体" w:cs="宋体"/>
                <w:color w:val="000000"/>
                <w:kern w:val="0"/>
                <w:sz w:val="21"/>
                <w:szCs w:val="21"/>
                <w:lang w:val="en-US" w:eastAsia="zh-CN"/>
              </w:rPr>
              <w:t>缺陷责任期满</w:t>
            </w:r>
            <w:r>
              <w:rPr>
                <w:rFonts w:hint="eastAsia" w:ascii="宋体" w:hAnsi="宋体" w:eastAsia="宋体" w:cs="宋体"/>
                <w:color w:val="000000"/>
                <w:kern w:val="0"/>
                <w:sz w:val="21"/>
                <w:szCs w:val="21"/>
                <w:lang w:val="en-US" w:eastAsia="zh-CN"/>
              </w:rPr>
              <w:t>止。</w:t>
            </w:r>
          </w:p>
        </w:tc>
      </w:tr>
      <w:tr w14:paraId="1FED1172">
        <w:tblPrEx>
          <w:tblCellMar>
            <w:top w:w="0" w:type="dxa"/>
            <w:left w:w="108" w:type="dxa"/>
            <w:bottom w:w="0" w:type="dxa"/>
            <w:right w:w="108" w:type="dxa"/>
          </w:tblCellMar>
        </w:tblPrEx>
        <w:trPr>
          <w:trHeight w:val="1270" w:hRule="atLeast"/>
        </w:trPr>
        <w:tc>
          <w:tcPr>
            <w:tcW w:w="1080" w:type="dxa"/>
            <w:vMerge w:val="continue"/>
            <w:tcBorders>
              <w:left w:val="single" w:color="auto" w:sz="4" w:space="0"/>
              <w:right w:val="single" w:color="auto" w:sz="4" w:space="0"/>
            </w:tcBorders>
            <w:shd w:val="clear" w:color="auto" w:fill="auto"/>
            <w:vAlign w:val="center"/>
          </w:tcPr>
          <w:p w14:paraId="4AC1F2CF">
            <w:pPr>
              <w:widowControl/>
              <w:jc w:val="center"/>
              <w:rPr>
                <w:rFonts w:hint="eastAsia"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55496CA4">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b/>
                <w:bCs/>
                <w:color w:val="000000"/>
                <w:kern w:val="0"/>
                <w:sz w:val="21"/>
                <w:szCs w:val="21"/>
              </w:rPr>
            </w:pPr>
            <w:r>
              <w:rPr>
                <w:rFonts w:hint="eastAsia" w:ascii="宋体" w:hAnsi="宋体" w:cs="宋体"/>
                <w:b/>
                <w:bCs/>
                <w:color w:val="000000"/>
                <w:kern w:val="0"/>
                <w:sz w:val="21"/>
                <w:szCs w:val="21"/>
                <w:lang w:val="en-US" w:eastAsia="zh-CN"/>
              </w:rPr>
              <w:t>服务要求</w:t>
            </w:r>
          </w:p>
        </w:tc>
        <w:tc>
          <w:tcPr>
            <w:tcW w:w="6560" w:type="dxa"/>
            <w:tcBorders>
              <w:top w:val="nil"/>
              <w:left w:val="nil"/>
              <w:bottom w:val="single" w:color="auto" w:sz="4" w:space="0"/>
              <w:right w:val="single" w:color="auto" w:sz="4" w:space="0"/>
            </w:tcBorders>
            <w:shd w:val="clear" w:color="000000" w:fill="FFFFFF"/>
            <w:vAlign w:val="center"/>
          </w:tcPr>
          <w:p w14:paraId="1A1B0BFF">
            <w:pPr>
              <w:widowControl/>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依据监理职责做好三控三管一协调，熟悉所监理项目的合同条款、规范、设计图纸，按设计图纸及有关标准对施工工艺及工序进行检查和记录，对工程关键部位、关键工序进行旁站监督，保证现场施工安全，做好监理日志和有关的监理记录，组织监理例会做好甲乙方之间涉及施工合同的联系活动。</w:t>
            </w:r>
          </w:p>
        </w:tc>
      </w:tr>
      <w:tr w14:paraId="026F3155">
        <w:tblPrEx>
          <w:tblCellMar>
            <w:top w:w="0" w:type="dxa"/>
            <w:left w:w="108" w:type="dxa"/>
            <w:bottom w:w="0" w:type="dxa"/>
            <w:right w:w="108" w:type="dxa"/>
          </w:tblCellMar>
        </w:tblPrEx>
        <w:trPr>
          <w:trHeight w:val="480"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14:paraId="27FDC9CC">
            <w:pPr>
              <w:widowControl/>
              <w:jc w:val="center"/>
              <w:rPr>
                <w:rFonts w:hint="eastAsia"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643CAD87">
            <w:pPr>
              <w:widowControl/>
              <w:jc w:val="center"/>
              <w:rPr>
                <w:rFonts w:hint="eastAsia" w:ascii="宋体" w:hAnsi="宋体" w:eastAsia="宋体" w:cs="宋体"/>
                <w:b/>
                <w:bCs/>
                <w:color w:val="000000"/>
                <w:kern w:val="0"/>
                <w:sz w:val="21"/>
                <w:szCs w:val="21"/>
                <w:lang w:eastAsia="zh-CN"/>
              </w:rPr>
            </w:pPr>
            <w:r>
              <w:rPr>
                <w:rFonts w:hint="eastAsia" w:ascii="宋体" w:hAnsi="宋体" w:cs="宋体"/>
                <w:b/>
                <w:bCs/>
                <w:color w:val="000000"/>
                <w:kern w:val="0"/>
                <w:sz w:val="21"/>
                <w:szCs w:val="21"/>
                <w:lang w:eastAsia="zh-CN"/>
              </w:rPr>
              <w:t>其他要求</w:t>
            </w:r>
          </w:p>
        </w:tc>
        <w:tc>
          <w:tcPr>
            <w:tcW w:w="6560" w:type="dxa"/>
            <w:tcBorders>
              <w:top w:val="nil"/>
              <w:left w:val="nil"/>
              <w:bottom w:val="single" w:color="auto" w:sz="4" w:space="0"/>
              <w:right w:val="single" w:color="auto" w:sz="4" w:space="0"/>
            </w:tcBorders>
            <w:shd w:val="clear" w:color="000000" w:fill="FFFFFF"/>
            <w:vAlign w:val="center"/>
          </w:tcPr>
          <w:p w14:paraId="73B459D7">
            <w:pPr>
              <w:widowControl/>
              <w:rPr>
                <w:rFonts w:hint="eastAsia" w:ascii="宋体" w:hAnsi="宋体" w:cs="宋体"/>
                <w:color w:val="000000"/>
                <w:kern w:val="0"/>
                <w:sz w:val="21"/>
                <w:szCs w:val="21"/>
              </w:rPr>
            </w:pPr>
            <w:r>
              <w:rPr>
                <w:rFonts w:hint="eastAsia" w:ascii="宋体" w:hAnsi="宋体" w:cs="宋体"/>
                <w:color w:val="000000"/>
                <w:kern w:val="0"/>
                <w:sz w:val="21"/>
                <w:szCs w:val="21"/>
              </w:rPr>
              <w:t>符合</w:t>
            </w:r>
            <w:r>
              <w:rPr>
                <w:rFonts w:hint="eastAsia" w:ascii="宋体" w:hAnsi="宋体" w:cs="宋体"/>
                <w:color w:val="000000"/>
                <w:kern w:val="0"/>
                <w:sz w:val="21"/>
                <w:szCs w:val="21"/>
                <w:lang w:eastAsia="zh-CN"/>
              </w:rPr>
              <w:t>比选公告其他</w:t>
            </w:r>
            <w:r>
              <w:rPr>
                <w:rFonts w:hint="eastAsia" w:ascii="宋体" w:hAnsi="宋体" w:cs="宋体"/>
                <w:color w:val="000000"/>
                <w:kern w:val="0"/>
                <w:sz w:val="21"/>
                <w:szCs w:val="21"/>
              </w:rPr>
              <w:t>要求及相关法律法规要求。</w:t>
            </w:r>
          </w:p>
        </w:tc>
      </w:tr>
      <w:tr w14:paraId="66274B18">
        <w:tblPrEx>
          <w:tblCellMar>
            <w:top w:w="0" w:type="dxa"/>
            <w:left w:w="108" w:type="dxa"/>
            <w:bottom w:w="0" w:type="dxa"/>
            <w:right w:w="108" w:type="dxa"/>
          </w:tblCellMar>
        </w:tblPrEx>
        <w:trPr>
          <w:trHeight w:val="838"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3F64781">
            <w:pPr>
              <w:widowControl/>
              <w:jc w:val="left"/>
              <w:rPr>
                <w:rFonts w:hint="eastAsia" w:ascii="宋体" w:hAnsi="宋体" w:eastAsia="宋体" w:cs="宋体"/>
                <w:color w:val="000000"/>
                <w:kern w:val="0"/>
                <w:sz w:val="21"/>
                <w:szCs w:val="21"/>
                <w:lang w:eastAsia="zh-CN"/>
              </w:rPr>
            </w:pPr>
            <w:r>
              <w:rPr>
                <w:rFonts w:hint="eastAsia" w:ascii="宋体" w:hAnsi="宋体" w:cs="宋体"/>
                <w:b/>
                <w:bCs/>
                <w:color w:val="000000"/>
                <w:kern w:val="0"/>
                <w:sz w:val="21"/>
                <w:szCs w:val="21"/>
              </w:rPr>
              <w:t>备注：</w:t>
            </w:r>
            <w:r>
              <w:rPr>
                <w:rFonts w:hint="eastAsia" w:ascii="宋体" w:hAnsi="宋体" w:cs="宋体"/>
                <w:b/>
                <w:bCs/>
                <w:color w:val="000000"/>
                <w:kern w:val="0"/>
                <w:sz w:val="21"/>
                <w:szCs w:val="21"/>
                <w:lang w:eastAsia="zh-CN"/>
              </w:rPr>
              <w:t>资格性、</w:t>
            </w:r>
            <w:r>
              <w:rPr>
                <w:rFonts w:hint="eastAsia" w:ascii="宋体" w:hAnsi="宋体" w:cs="宋体"/>
                <w:b/>
                <w:bCs/>
                <w:color w:val="000000"/>
                <w:kern w:val="0"/>
                <w:sz w:val="21"/>
                <w:szCs w:val="21"/>
              </w:rPr>
              <w:t>符合性审查中有任意一项未通过的，评审结果为</w:t>
            </w:r>
            <w:r>
              <w:rPr>
                <w:rFonts w:hint="eastAsia" w:ascii="宋体" w:hAnsi="宋体" w:cs="宋体"/>
                <w:b/>
                <w:bCs/>
                <w:color w:val="000000"/>
                <w:kern w:val="0"/>
                <w:sz w:val="21"/>
                <w:szCs w:val="21"/>
                <w:lang w:eastAsia="zh-CN"/>
              </w:rPr>
              <w:t>不合格。</w:t>
            </w:r>
          </w:p>
        </w:tc>
      </w:tr>
    </w:tbl>
    <w:p w14:paraId="2EBB0D37">
      <w:pPr>
        <w:rPr>
          <w:rFonts w:hint="eastAsia"/>
        </w:rPr>
      </w:pPr>
      <w:r>
        <w:rPr>
          <w:rFonts w:hint="eastAsia"/>
        </w:rPr>
        <w:br w:type="page"/>
      </w:r>
    </w:p>
    <w:p w14:paraId="539F501F">
      <w:pPr>
        <w:spacing w:line="360" w:lineRule="auto"/>
        <w:ind w:firstLine="236" w:firstLineChars="98"/>
        <w:rPr>
          <w:rFonts w:hint="eastAsia"/>
          <w:b/>
          <w:bCs/>
          <w:sz w:val="20"/>
          <w:szCs w:val="20"/>
          <w:lang w:val="en-US"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1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2548"/>
        <w:gridCol w:w="6061"/>
      </w:tblGrid>
      <w:tr w14:paraId="1F91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7" w:type="dxa"/>
            <w:gridSpan w:val="2"/>
            <w:vAlign w:val="center"/>
          </w:tcPr>
          <w:p w14:paraId="163726D4">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评审因素</w:t>
            </w:r>
          </w:p>
        </w:tc>
        <w:tc>
          <w:tcPr>
            <w:tcW w:w="6061" w:type="dxa"/>
            <w:vAlign w:val="center"/>
          </w:tcPr>
          <w:p w14:paraId="5D908301">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评分标准</w:t>
            </w:r>
          </w:p>
        </w:tc>
      </w:tr>
      <w:tr w14:paraId="5DD2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3567" w:type="dxa"/>
            <w:gridSpan w:val="2"/>
            <w:vAlign w:val="center"/>
          </w:tcPr>
          <w:p w14:paraId="304B1E58">
            <w:pPr>
              <w:widowControl/>
              <w:jc w:val="center"/>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分值构成</w:t>
            </w:r>
          </w:p>
        </w:tc>
        <w:tc>
          <w:tcPr>
            <w:tcW w:w="6061" w:type="dxa"/>
            <w:vAlign w:val="center"/>
          </w:tcPr>
          <w:p w14:paraId="4C645BE7">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1.服务方案60分</w:t>
            </w:r>
          </w:p>
          <w:p w14:paraId="663E077B">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2.商务部分10分</w:t>
            </w:r>
          </w:p>
          <w:p w14:paraId="52976D49">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3.报价得分30分</w:t>
            </w:r>
          </w:p>
        </w:tc>
      </w:tr>
      <w:tr w14:paraId="59F2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019" w:type="dxa"/>
            <w:vMerge w:val="restart"/>
            <w:vAlign w:val="center"/>
          </w:tcPr>
          <w:p w14:paraId="2CC2F958">
            <w:pPr>
              <w:widowControl/>
              <w:jc w:val="center"/>
              <w:rPr>
                <w:rFonts w:hint="default"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监理大纲（60分）</w:t>
            </w:r>
          </w:p>
        </w:tc>
        <w:tc>
          <w:tcPr>
            <w:tcW w:w="2548" w:type="dxa"/>
            <w:vAlign w:val="center"/>
          </w:tcPr>
          <w:p w14:paraId="0CEA3067">
            <w:pPr>
              <w:pStyle w:val="33"/>
              <w:keepNext w:val="0"/>
              <w:keepLines w:val="0"/>
              <w:pageBreakBefore w:val="0"/>
              <w:kinsoku/>
              <w:wordWrap/>
              <w:overflowPunct/>
              <w:topLinePunct w:val="0"/>
              <w:autoSpaceDE/>
              <w:autoSpaceDN/>
              <w:bidi w:val="0"/>
              <w:snapToGrid/>
              <w:spacing w:line="300" w:lineRule="exact"/>
              <w:jc w:val="center"/>
              <w:rPr>
                <w:rFonts w:hint="default"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质量控制措施（12.0分）</w:t>
            </w:r>
          </w:p>
        </w:tc>
        <w:tc>
          <w:tcPr>
            <w:tcW w:w="6061" w:type="dxa"/>
            <w:vAlign w:val="center"/>
          </w:tcPr>
          <w:p w14:paraId="0F75F31A">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0"/>
                <w:szCs w:val="20"/>
                <w:lang w:val="en-US" w:eastAsia="zh-CN"/>
              </w:rPr>
              <w:t>根据质量控制措施（如质量目标与标准、质量控制流程、关键节点把控、质量验收计划等）是否得力，全面、有针对性综合评分。</w:t>
            </w:r>
            <w:r>
              <w:rPr>
                <w:rFonts w:hint="eastAsia" w:ascii="宋体" w:hAnsi="宋体" w:eastAsia="Times New Roman" w:cs="宋体"/>
                <w:color w:val="000000"/>
                <w:kern w:val="0"/>
                <w:sz w:val="20"/>
                <w:szCs w:val="20"/>
                <w:lang w:val="en-US" w:eastAsia="zh-CN" w:bidi="ar-SA"/>
              </w:rPr>
              <w:t>控制措施得力、全面、有针对性的，得10-12分；控制措施比较得力、比较全面、比较有针对性的，得6-9分；控制措施不太得力、不太全面、针对性不强的，得1-5分；控制措施差或无得的0分。</w:t>
            </w:r>
          </w:p>
        </w:tc>
      </w:tr>
      <w:tr w14:paraId="01F5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19" w:type="dxa"/>
            <w:vMerge w:val="continue"/>
            <w:vAlign w:val="center"/>
          </w:tcPr>
          <w:p w14:paraId="4E02D41F">
            <w:pPr>
              <w:widowControl/>
              <w:rPr>
                <w:rFonts w:hint="eastAsia" w:ascii="宋体" w:hAnsi="宋体" w:cs="宋体"/>
                <w:b/>
                <w:bCs/>
                <w:color w:val="000000"/>
                <w:kern w:val="0"/>
                <w:sz w:val="21"/>
                <w:szCs w:val="21"/>
                <w:highlight w:val="none"/>
                <w:lang w:val="en-US" w:eastAsia="zh-CN"/>
              </w:rPr>
            </w:pPr>
          </w:p>
        </w:tc>
        <w:tc>
          <w:tcPr>
            <w:tcW w:w="2548" w:type="dxa"/>
            <w:vAlign w:val="center"/>
          </w:tcPr>
          <w:p w14:paraId="428B176E">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进度控制措施（10.0分）</w:t>
            </w:r>
          </w:p>
        </w:tc>
        <w:tc>
          <w:tcPr>
            <w:tcW w:w="6061" w:type="dxa"/>
            <w:vAlign w:val="center"/>
          </w:tcPr>
          <w:p w14:paraId="0F41F1E4">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进度控制措施（如进度计划、动态调整机制、风险应对方案等）是否合理有效、全面、有针对性综合评分。控制措施合理有效、全面、有针对性的，得8-10分；控制措施比较合理有效、比较全面、比较有针对性的，得4-7分；控制措施不太合理有效、不太全面、针对性不强的，得1-3分；控制措施差或无的，得0分。</w:t>
            </w:r>
          </w:p>
        </w:tc>
      </w:tr>
      <w:tr w14:paraId="46CA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19" w:type="dxa"/>
            <w:vMerge w:val="continue"/>
            <w:vAlign w:val="center"/>
          </w:tcPr>
          <w:p w14:paraId="4B888B15">
            <w:pPr>
              <w:widowControl/>
              <w:rPr>
                <w:rFonts w:hint="eastAsia" w:ascii="宋体" w:hAnsi="宋体" w:cs="宋体"/>
                <w:b/>
                <w:bCs/>
                <w:color w:val="000000"/>
                <w:kern w:val="0"/>
                <w:sz w:val="21"/>
                <w:szCs w:val="21"/>
                <w:highlight w:val="none"/>
                <w:lang w:val="en-US" w:eastAsia="zh-CN"/>
              </w:rPr>
            </w:pPr>
          </w:p>
        </w:tc>
        <w:tc>
          <w:tcPr>
            <w:tcW w:w="2548" w:type="dxa"/>
            <w:vAlign w:val="center"/>
          </w:tcPr>
          <w:p w14:paraId="15C734F6">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造价控制措施（10.0分）</w:t>
            </w:r>
          </w:p>
        </w:tc>
        <w:tc>
          <w:tcPr>
            <w:tcW w:w="6061" w:type="dxa"/>
            <w:vAlign w:val="center"/>
          </w:tcPr>
          <w:p w14:paraId="1D0EB072">
            <w:pPr>
              <w:widowControl/>
              <w:jc w:val="left"/>
              <w:rPr>
                <w:rFonts w:hint="default"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造价控制措施（如成本监控方法，变更签证管理预算审核机制等）是否得力、全面、有针对性综合评分。控制措施得力、全面、有针对性的，得8-10分；控制措施比较得力、比较全面、比较有针对性的，得4-7分；控制措施不太得力、不太全面、针对性不强的，得1-3分；控制措施差或无的，得0分。</w:t>
            </w:r>
          </w:p>
        </w:tc>
      </w:tr>
      <w:tr w14:paraId="6018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19" w:type="dxa"/>
            <w:vMerge w:val="continue"/>
            <w:vAlign w:val="center"/>
          </w:tcPr>
          <w:p w14:paraId="2BA1C317">
            <w:pPr>
              <w:widowControl/>
              <w:rPr>
                <w:rFonts w:hint="eastAsia" w:ascii="宋体" w:hAnsi="宋体" w:cs="宋体"/>
                <w:b/>
                <w:bCs/>
                <w:color w:val="000000"/>
                <w:kern w:val="0"/>
                <w:sz w:val="21"/>
                <w:szCs w:val="21"/>
                <w:highlight w:val="none"/>
                <w:lang w:val="en-US" w:eastAsia="zh-CN"/>
              </w:rPr>
            </w:pPr>
          </w:p>
        </w:tc>
        <w:tc>
          <w:tcPr>
            <w:tcW w:w="2548" w:type="dxa"/>
            <w:vAlign w:val="center"/>
          </w:tcPr>
          <w:p w14:paraId="1FBF293B">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环境保护控制措施    （6.0分）</w:t>
            </w:r>
          </w:p>
        </w:tc>
        <w:tc>
          <w:tcPr>
            <w:tcW w:w="6061" w:type="dxa"/>
            <w:vAlign w:val="center"/>
          </w:tcPr>
          <w:p w14:paraId="26EE141F">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环境保护控制措施（如降尘、降噪、垃圾清运等）是否得力、全面、有针对性综合评分，控制措施得力、全面、有针对性的，得5-6分；控制措施比较得力、比较全面、比较有针对性的，得3-4分；控制措施不太得力、不太全面、针对性不强的，得1-2分；控制措施差或无的，得0分。</w:t>
            </w:r>
          </w:p>
        </w:tc>
      </w:tr>
      <w:tr w14:paraId="1A6D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19" w:type="dxa"/>
            <w:vMerge w:val="continue"/>
            <w:vAlign w:val="center"/>
          </w:tcPr>
          <w:p w14:paraId="00090D99">
            <w:pPr>
              <w:widowControl/>
              <w:ind w:leftChars="0"/>
            </w:pPr>
          </w:p>
        </w:tc>
        <w:tc>
          <w:tcPr>
            <w:tcW w:w="2548" w:type="dxa"/>
            <w:vAlign w:val="center"/>
          </w:tcPr>
          <w:p w14:paraId="23C97C17">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安全生产管理措施    （8.0分）</w:t>
            </w:r>
          </w:p>
        </w:tc>
        <w:tc>
          <w:tcPr>
            <w:tcW w:w="6061" w:type="dxa"/>
            <w:vAlign w:val="center"/>
          </w:tcPr>
          <w:p w14:paraId="090E69CE">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安全管理措施（结合现场实际情况编制安全风险清单、应急预案、安全培训等）是否得力，全面、有针对性综合评分。控制措施得力、全面、有针对性的，得6-8分；控制措施比较得力、比较全面、比较有针对性的，得3-5分；控制措施不太得力、不太全面、针对性不强的，得1-2分；控制措施差或无的，得0分。</w:t>
            </w:r>
          </w:p>
        </w:tc>
      </w:tr>
      <w:tr w14:paraId="3FF7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vMerge w:val="continue"/>
            <w:vAlign w:val="center"/>
          </w:tcPr>
          <w:p w14:paraId="3F8A349D">
            <w:pPr>
              <w:widowControl/>
              <w:rPr>
                <w:rFonts w:hint="eastAsia" w:ascii="宋体" w:hAnsi="宋体" w:cs="宋体"/>
                <w:color w:val="000000"/>
                <w:kern w:val="0"/>
                <w:sz w:val="21"/>
                <w:szCs w:val="21"/>
                <w:highlight w:val="none"/>
                <w:lang w:val="en-US" w:eastAsia="zh-CN"/>
              </w:rPr>
            </w:pPr>
          </w:p>
        </w:tc>
        <w:tc>
          <w:tcPr>
            <w:tcW w:w="2548" w:type="dxa"/>
            <w:vAlign w:val="center"/>
          </w:tcPr>
          <w:p w14:paraId="79C5C045">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文明施工管理措施     （4.0分）</w:t>
            </w:r>
          </w:p>
        </w:tc>
        <w:tc>
          <w:tcPr>
            <w:tcW w:w="6061" w:type="dxa"/>
            <w:vAlign w:val="center"/>
          </w:tcPr>
          <w:p w14:paraId="5FFB7CB7">
            <w:pPr>
              <w:widowControl/>
              <w:jc w:val="left"/>
              <w:rPr>
                <w:rFonts w:hint="default"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文明施工管理措施（如现场管理规范、扰民防控、卫生与环境维护等）是否根据项目特点编制。措施合理、全面、有针对性的，得3-4分；措施比较合理、全面，相对有针对性的，得1-2分；措施差或无的，得0分。</w:t>
            </w:r>
          </w:p>
        </w:tc>
      </w:tr>
      <w:tr w14:paraId="0EA2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19" w:type="dxa"/>
            <w:vMerge w:val="continue"/>
            <w:vAlign w:val="center"/>
          </w:tcPr>
          <w:p w14:paraId="2718BBDE">
            <w:pPr>
              <w:widowControl/>
              <w:ind w:leftChars="0"/>
            </w:pPr>
          </w:p>
        </w:tc>
        <w:tc>
          <w:tcPr>
            <w:tcW w:w="2548" w:type="dxa"/>
            <w:vAlign w:val="center"/>
          </w:tcPr>
          <w:p w14:paraId="0AACBCF2">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合同、信息管理（6.0分）</w:t>
            </w:r>
          </w:p>
        </w:tc>
        <w:tc>
          <w:tcPr>
            <w:tcW w:w="6061" w:type="dxa"/>
            <w:vAlign w:val="center"/>
          </w:tcPr>
          <w:p w14:paraId="208233F9">
            <w:pPr>
              <w:adjustRightInd w:val="0"/>
              <w:jc w:val="left"/>
              <w:textAlignment w:val="baseline"/>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合同、信息管理内容（如合同履约监管、档案管理流程、信息化工具应用等）是否明确、管理措施是否得当综合评分。内容明确，措施合理的，得5-6分；内容比较明确，措施相对合理的，得3-4分；内容不太明确，措施不太合理的，得1-2分；差或无相关内容的，不得分。</w:t>
            </w:r>
          </w:p>
        </w:tc>
      </w:tr>
      <w:tr w14:paraId="6FC0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19" w:type="dxa"/>
            <w:vMerge w:val="continue"/>
            <w:vAlign w:val="center"/>
          </w:tcPr>
          <w:p w14:paraId="3566B4B4">
            <w:pPr>
              <w:widowControl/>
              <w:ind w:leftChars="0"/>
            </w:pPr>
          </w:p>
        </w:tc>
        <w:tc>
          <w:tcPr>
            <w:tcW w:w="2548" w:type="dxa"/>
            <w:vAlign w:val="center"/>
          </w:tcPr>
          <w:p w14:paraId="00702482">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组织协调内容及措施  （4.0分）</w:t>
            </w:r>
          </w:p>
        </w:tc>
        <w:tc>
          <w:tcPr>
            <w:tcW w:w="6061" w:type="dxa"/>
            <w:vAlign w:val="center"/>
          </w:tcPr>
          <w:p w14:paraId="40D20A36">
            <w:pPr>
              <w:adjustRightInd w:val="0"/>
              <w:jc w:val="left"/>
              <w:textAlignment w:val="baseline"/>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根据组织协调内容（如沟通机制、多方协作方案、争议处理预案等）及措施是否明确、全面、有效综合评分。内容及措施明确、全面、有效的，得3-4分；内容及措施一般的，得1-2分；差或无相关内容的，得0分。</w:t>
            </w:r>
          </w:p>
        </w:tc>
      </w:tr>
      <w:tr w14:paraId="6A77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19" w:type="dxa"/>
            <w:vMerge w:val="restart"/>
            <w:vAlign w:val="center"/>
          </w:tcPr>
          <w:p w14:paraId="12DC9B8E">
            <w:pPr>
              <w:widowControl/>
              <w:jc w:val="center"/>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商</w:t>
            </w:r>
            <w:r>
              <w:rPr>
                <w:rFonts w:hint="eastAsia" w:ascii="宋体" w:hAnsi="宋体" w:cs="宋体"/>
                <w:b/>
                <w:bCs/>
                <w:color w:val="000000"/>
                <w:kern w:val="0"/>
                <w:sz w:val="21"/>
                <w:szCs w:val="21"/>
                <w:highlight w:val="none"/>
                <w:lang w:val="en-US" w:eastAsia="zh-CN"/>
              </w:rPr>
              <w:t xml:space="preserve"> </w:t>
            </w:r>
            <w:r>
              <w:rPr>
                <w:rFonts w:hint="eastAsia" w:ascii="宋体" w:hAnsi="宋体" w:cs="宋体"/>
                <w:b/>
                <w:bCs/>
                <w:color w:val="000000"/>
                <w:kern w:val="0"/>
                <w:sz w:val="21"/>
                <w:szCs w:val="21"/>
                <w:highlight w:val="none"/>
              </w:rPr>
              <w:t>务</w:t>
            </w:r>
          </w:p>
          <w:p w14:paraId="14B707E9">
            <w:pPr>
              <w:widowControl/>
              <w:jc w:val="center"/>
              <w:rPr>
                <w:rFonts w:hint="eastAsia" w:ascii="宋体" w:hAnsi="宋体" w:eastAsia="宋体" w:cs="宋体"/>
                <w:b/>
                <w:bCs/>
                <w:color w:val="000000"/>
                <w:kern w:val="0"/>
                <w:sz w:val="21"/>
                <w:szCs w:val="21"/>
                <w:highlight w:val="none"/>
                <w:lang w:eastAsia="zh-CN"/>
              </w:rPr>
            </w:pPr>
            <w:r>
              <w:rPr>
                <w:rFonts w:hint="eastAsia" w:ascii="宋体" w:hAnsi="宋体" w:cs="宋体"/>
                <w:b/>
                <w:bCs/>
                <w:color w:val="000000"/>
                <w:kern w:val="0"/>
                <w:sz w:val="21"/>
                <w:szCs w:val="21"/>
                <w:highlight w:val="none"/>
              </w:rPr>
              <w:t>部</w:t>
            </w:r>
            <w:r>
              <w:rPr>
                <w:rFonts w:hint="eastAsia" w:ascii="宋体" w:hAnsi="宋体" w:cs="宋体"/>
                <w:b/>
                <w:bCs/>
                <w:color w:val="000000"/>
                <w:kern w:val="0"/>
                <w:sz w:val="21"/>
                <w:szCs w:val="21"/>
                <w:highlight w:val="none"/>
                <w:lang w:val="en-US" w:eastAsia="zh-CN"/>
              </w:rPr>
              <w:t xml:space="preserve"> </w:t>
            </w:r>
            <w:r>
              <w:rPr>
                <w:rFonts w:hint="eastAsia" w:ascii="宋体" w:hAnsi="宋体" w:cs="宋体"/>
                <w:b/>
                <w:bCs/>
                <w:color w:val="000000"/>
                <w:kern w:val="0"/>
                <w:sz w:val="21"/>
                <w:szCs w:val="21"/>
                <w:highlight w:val="none"/>
              </w:rPr>
              <w:t>分</w:t>
            </w:r>
            <w:r>
              <w:rPr>
                <w:rFonts w:hint="eastAsia" w:ascii="宋体" w:hAnsi="宋体" w:cs="宋体"/>
                <w:b/>
                <w:bCs/>
                <w:color w:val="000000"/>
                <w:kern w:val="0"/>
                <w:sz w:val="21"/>
                <w:szCs w:val="21"/>
                <w:highlight w:val="none"/>
                <w:lang w:eastAsia="zh-CN"/>
              </w:rPr>
              <w:t>（</w:t>
            </w:r>
            <w:r>
              <w:rPr>
                <w:rFonts w:hint="eastAsia" w:ascii="宋体" w:hAnsi="宋体" w:cs="宋体"/>
                <w:b/>
                <w:bCs/>
                <w:color w:val="000000"/>
                <w:kern w:val="0"/>
                <w:sz w:val="21"/>
                <w:szCs w:val="21"/>
                <w:highlight w:val="none"/>
                <w:lang w:val="en-US" w:eastAsia="zh-CN"/>
              </w:rPr>
              <w:t>10分</w:t>
            </w:r>
            <w:r>
              <w:rPr>
                <w:rFonts w:hint="eastAsia" w:ascii="宋体" w:hAnsi="宋体" w:cs="宋体"/>
                <w:b/>
                <w:bCs/>
                <w:color w:val="000000"/>
                <w:kern w:val="0"/>
                <w:sz w:val="21"/>
                <w:szCs w:val="21"/>
                <w:highlight w:val="none"/>
                <w:lang w:eastAsia="zh-CN"/>
              </w:rPr>
              <w:t>）</w:t>
            </w:r>
          </w:p>
        </w:tc>
        <w:tc>
          <w:tcPr>
            <w:tcW w:w="2548" w:type="dxa"/>
            <w:vAlign w:val="center"/>
          </w:tcPr>
          <w:p w14:paraId="5C6B5D81">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总监理工程师任职资格（2.00分）</w:t>
            </w:r>
          </w:p>
        </w:tc>
        <w:tc>
          <w:tcPr>
            <w:tcW w:w="6061" w:type="dxa"/>
            <w:vAlign w:val="center"/>
          </w:tcPr>
          <w:p w14:paraId="37D0C3F4">
            <w:pPr>
              <w:pStyle w:val="33"/>
              <w:keepNext w:val="0"/>
              <w:keepLines w:val="0"/>
              <w:pageBreakBefore w:val="0"/>
              <w:kinsoku/>
              <w:wordWrap/>
              <w:overflowPunct/>
              <w:topLinePunct w:val="0"/>
              <w:autoSpaceDE/>
              <w:autoSpaceDN/>
              <w:bidi w:val="0"/>
              <w:snapToGrid/>
              <w:spacing w:line="300" w:lineRule="exac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具有副高级(含)以上技术职称</w:t>
            </w:r>
            <w:r>
              <w:rPr>
                <w:rFonts w:hint="eastAsia" w:ascii="宋体" w:hAnsi="宋体" w:cs="宋体"/>
                <w:color w:val="000000"/>
                <w:kern w:val="0"/>
                <w:sz w:val="21"/>
                <w:szCs w:val="21"/>
                <w:highlight w:val="none"/>
                <w:lang w:val="en-US" w:eastAsia="zh-CN" w:bidi="ar-SA"/>
              </w:rPr>
              <w:t>的，</w:t>
            </w:r>
            <w:r>
              <w:rPr>
                <w:rFonts w:hint="eastAsia" w:ascii="宋体" w:hAnsi="宋体" w:eastAsia="宋体" w:cs="宋体"/>
                <w:color w:val="000000"/>
                <w:kern w:val="0"/>
                <w:sz w:val="21"/>
                <w:szCs w:val="21"/>
                <w:highlight w:val="none"/>
                <w:lang w:val="en-US" w:eastAsia="zh-CN" w:bidi="ar-SA"/>
              </w:rPr>
              <w:t>得2分（投标文件需附职称证</w:t>
            </w:r>
            <w:r>
              <w:rPr>
                <w:rFonts w:hint="eastAsia" w:ascii="宋体" w:hAnsi="宋体" w:cs="宋体"/>
                <w:color w:val="000000"/>
                <w:kern w:val="0"/>
                <w:sz w:val="21"/>
                <w:szCs w:val="21"/>
                <w:highlight w:val="none"/>
                <w:lang w:val="en-US" w:eastAsia="zh-CN" w:bidi="ar-SA"/>
              </w:rPr>
              <w:t>书</w:t>
            </w:r>
            <w:r>
              <w:rPr>
                <w:rFonts w:hint="eastAsia" w:ascii="宋体" w:hAnsi="宋体" w:eastAsia="宋体" w:cs="宋体"/>
                <w:color w:val="000000"/>
                <w:kern w:val="0"/>
                <w:sz w:val="21"/>
                <w:szCs w:val="21"/>
                <w:highlight w:val="none"/>
                <w:lang w:val="en-US" w:eastAsia="zh-CN" w:bidi="ar-SA"/>
              </w:rPr>
              <w:t>扫描件）。</w:t>
            </w:r>
          </w:p>
        </w:tc>
      </w:tr>
      <w:tr w14:paraId="700B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19" w:type="dxa"/>
            <w:vMerge w:val="continue"/>
            <w:vAlign w:val="center"/>
          </w:tcPr>
          <w:p w14:paraId="518A9269">
            <w:pPr>
              <w:widowControl/>
              <w:jc w:val="center"/>
              <w:rPr>
                <w:rFonts w:hint="eastAsia" w:ascii="宋体" w:hAnsi="宋体" w:cs="宋体"/>
                <w:b/>
                <w:bCs/>
                <w:color w:val="000000"/>
                <w:kern w:val="0"/>
                <w:sz w:val="21"/>
                <w:szCs w:val="21"/>
                <w:highlight w:val="none"/>
              </w:rPr>
            </w:pPr>
          </w:p>
        </w:tc>
        <w:tc>
          <w:tcPr>
            <w:tcW w:w="2548" w:type="dxa"/>
            <w:vAlign w:val="center"/>
          </w:tcPr>
          <w:p w14:paraId="6D51AF31">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专业监理工程师任职资格</w:t>
            </w:r>
          </w:p>
          <w:p w14:paraId="7945A312">
            <w:pPr>
              <w:widowControl/>
              <w:jc w:val="center"/>
              <w:rPr>
                <w:rFonts w:hint="default"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（4.00分）</w:t>
            </w:r>
          </w:p>
        </w:tc>
        <w:tc>
          <w:tcPr>
            <w:tcW w:w="6061" w:type="dxa"/>
            <w:vAlign w:val="center"/>
          </w:tcPr>
          <w:p w14:paraId="73DC7903">
            <w:pPr>
              <w:widowControl/>
              <w:numPr>
                <w:ilvl w:val="0"/>
                <w:numId w:val="0"/>
              </w:numPr>
              <w:ind w:leftChars="0"/>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拟派</w:t>
            </w:r>
            <w:r>
              <w:rPr>
                <w:rFonts w:hint="eastAsia" w:ascii="宋体" w:hAnsi="宋体" w:eastAsia="宋体" w:cs="宋体"/>
                <w:color w:val="000000"/>
                <w:kern w:val="0"/>
                <w:sz w:val="21"/>
                <w:szCs w:val="21"/>
                <w:highlight w:val="none"/>
                <w:lang w:val="en-US" w:eastAsia="zh-CN" w:bidi="ar-SA"/>
              </w:rPr>
              <w:t>专业监理工程师</w:t>
            </w:r>
            <w:r>
              <w:rPr>
                <w:rFonts w:hint="eastAsia" w:ascii="宋体" w:hAnsi="宋体" w:cs="宋体"/>
                <w:color w:val="000000"/>
                <w:kern w:val="0"/>
                <w:sz w:val="21"/>
                <w:szCs w:val="21"/>
                <w:highlight w:val="none"/>
                <w:lang w:val="en-US" w:eastAsia="zh-CN" w:bidi="ar-SA"/>
              </w:rPr>
              <w:t>中</w:t>
            </w:r>
            <w:r>
              <w:rPr>
                <w:rFonts w:hint="eastAsia" w:ascii="宋体" w:hAnsi="宋体" w:eastAsia="宋体" w:cs="宋体"/>
                <w:color w:val="000000"/>
                <w:kern w:val="0"/>
                <w:sz w:val="21"/>
                <w:szCs w:val="21"/>
                <w:highlight w:val="none"/>
                <w:lang w:val="en-US" w:eastAsia="zh-CN" w:bidi="ar-SA"/>
              </w:rPr>
              <w:t>每有1个副高级(含)以上技术职称</w:t>
            </w:r>
            <w:r>
              <w:rPr>
                <w:rFonts w:hint="eastAsia" w:ascii="宋体" w:hAnsi="宋体" w:cs="宋体"/>
                <w:color w:val="000000"/>
                <w:kern w:val="0"/>
                <w:sz w:val="21"/>
                <w:szCs w:val="21"/>
                <w:highlight w:val="none"/>
                <w:lang w:val="en-US" w:eastAsia="zh-CN" w:bidi="ar-SA"/>
              </w:rPr>
              <w:t>的，</w:t>
            </w:r>
            <w:r>
              <w:rPr>
                <w:rFonts w:hint="eastAsia" w:ascii="宋体" w:hAnsi="宋体" w:eastAsia="宋体" w:cs="宋体"/>
                <w:color w:val="000000"/>
                <w:kern w:val="0"/>
                <w:sz w:val="21"/>
                <w:szCs w:val="21"/>
                <w:highlight w:val="none"/>
                <w:lang w:val="en-US" w:eastAsia="zh-CN" w:bidi="ar-SA"/>
              </w:rPr>
              <w:t>得2分，每有一个中级技术职称</w:t>
            </w:r>
            <w:r>
              <w:rPr>
                <w:rFonts w:hint="eastAsia" w:ascii="宋体" w:hAnsi="宋体" w:cs="宋体"/>
                <w:color w:val="000000"/>
                <w:kern w:val="0"/>
                <w:sz w:val="21"/>
                <w:szCs w:val="21"/>
                <w:highlight w:val="none"/>
                <w:lang w:val="en-US" w:eastAsia="zh-CN" w:bidi="ar-SA"/>
              </w:rPr>
              <w:t>的，</w:t>
            </w:r>
            <w:r>
              <w:rPr>
                <w:rFonts w:hint="eastAsia" w:ascii="宋体" w:hAnsi="宋体" w:eastAsia="宋体" w:cs="宋体"/>
                <w:color w:val="000000"/>
                <w:kern w:val="0"/>
                <w:sz w:val="21"/>
                <w:szCs w:val="21"/>
                <w:highlight w:val="none"/>
                <w:lang w:val="en-US" w:eastAsia="zh-CN" w:bidi="ar-SA"/>
              </w:rPr>
              <w:t>得1分，</w:t>
            </w:r>
            <w:r>
              <w:rPr>
                <w:rFonts w:hint="eastAsia" w:ascii="宋体" w:hAnsi="宋体" w:cs="宋体"/>
                <w:color w:val="000000"/>
                <w:kern w:val="0"/>
                <w:sz w:val="21"/>
                <w:szCs w:val="21"/>
                <w:highlight w:val="none"/>
                <w:lang w:val="en-US" w:eastAsia="zh-CN" w:bidi="ar-SA"/>
              </w:rPr>
              <w:t>本项最高得4分</w:t>
            </w:r>
            <w:r>
              <w:rPr>
                <w:rFonts w:hint="eastAsia" w:ascii="宋体" w:hAnsi="宋体" w:eastAsia="宋体" w:cs="宋体"/>
                <w:color w:val="000000"/>
                <w:kern w:val="0"/>
                <w:sz w:val="21"/>
                <w:szCs w:val="21"/>
                <w:highlight w:val="none"/>
                <w:lang w:val="en-US" w:eastAsia="zh-CN" w:bidi="ar-SA"/>
              </w:rPr>
              <w:t>。（投标文件需附职称证复印件）</w:t>
            </w:r>
          </w:p>
        </w:tc>
      </w:tr>
      <w:tr w14:paraId="2206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019" w:type="dxa"/>
            <w:vMerge w:val="continue"/>
            <w:vAlign w:val="center"/>
          </w:tcPr>
          <w:p w14:paraId="48D6D5BD">
            <w:pPr>
              <w:widowControl/>
              <w:rPr>
                <w:rFonts w:hint="eastAsia" w:ascii="宋体" w:hAnsi="宋体" w:cs="宋体"/>
                <w:b/>
                <w:bCs/>
                <w:color w:val="000000"/>
                <w:kern w:val="0"/>
                <w:sz w:val="21"/>
                <w:szCs w:val="21"/>
                <w:highlight w:val="none"/>
              </w:rPr>
            </w:pPr>
          </w:p>
        </w:tc>
        <w:tc>
          <w:tcPr>
            <w:tcW w:w="2548" w:type="dxa"/>
            <w:vAlign w:val="center"/>
          </w:tcPr>
          <w:p w14:paraId="7B442F2A">
            <w:pPr>
              <w:widowControl/>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总监理工程师业绩（4分）</w:t>
            </w:r>
          </w:p>
        </w:tc>
        <w:tc>
          <w:tcPr>
            <w:tcW w:w="6061" w:type="dxa"/>
            <w:vAlign w:val="center"/>
          </w:tcPr>
          <w:p w14:paraId="790C6DB1">
            <w:pPr>
              <w:widowControl/>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总监理工程师近年（2022年1月1日至今，以合同签订时间为准），每担任过1项建筑工程项目总监理工程师的，得2分，最高得4分。（投标文件需附合同</w:t>
            </w:r>
            <w:r>
              <w:rPr>
                <w:rFonts w:hint="eastAsia" w:ascii="宋体" w:hAnsi="宋体" w:cs="宋体"/>
                <w:color w:val="000000"/>
                <w:kern w:val="0"/>
                <w:sz w:val="21"/>
                <w:szCs w:val="21"/>
                <w:highlight w:val="none"/>
                <w:lang w:val="en-US" w:eastAsia="zh-CN" w:bidi="ar-SA"/>
              </w:rPr>
              <w:t>扫描件</w:t>
            </w:r>
            <w:r>
              <w:rPr>
                <w:rFonts w:hint="eastAsia" w:ascii="宋体" w:hAnsi="宋体" w:eastAsia="宋体" w:cs="宋体"/>
                <w:color w:val="000000"/>
                <w:kern w:val="0"/>
                <w:sz w:val="21"/>
                <w:szCs w:val="21"/>
                <w:highlight w:val="none"/>
                <w:lang w:val="en-US" w:eastAsia="zh-CN" w:bidi="ar-SA"/>
              </w:rPr>
              <w:t>，合同中不体现项目总监理工程师的须提供相关证明资料，否则按无效业绩处理）。</w:t>
            </w:r>
          </w:p>
        </w:tc>
      </w:tr>
      <w:tr w14:paraId="71D4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19" w:type="dxa"/>
            <w:vAlign w:val="center"/>
          </w:tcPr>
          <w:p w14:paraId="2DECBA54">
            <w:pPr>
              <w:widowControl/>
              <w:jc w:val="center"/>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投 标</w:t>
            </w:r>
          </w:p>
          <w:p w14:paraId="7CDDABE4">
            <w:pPr>
              <w:widowControl/>
              <w:jc w:val="center"/>
              <w:rPr>
                <w:rFonts w:hint="eastAsia" w:ascii="宋体" w:hAnsi="宋体" w:eastAsia="宋体" w:cs="宋体"/>
                <w:b/>
                <w:bCs/>
                <w:color w:val="000000"/>
                <w:kern w:val="0"/>
                <w:sz w:val="21"/>
                <w:szCs w:val="21"/>
                <w:highlight w:val="none"/>
                <w:lang w:eastAsia="zh-CN"/>
              </w:rPr>
            </w:pPr>
            <w:r>
              <w:rPr>
                <w:rFonts w:hint="eastAsia" w:ascii="宋体" w:hAnsi="宋体" w:cs="宋体"/>
                <w:b/>
                <w:bCs/>
                <w:color w:val="000000"/>
                <w:kern w:val="0"/>
                <w:sz w:val="21"/>
                <w:szCs w:val="21"/>
                <w:highlight w:val="none"/>
              </w:rPr>
              <w:t>报 价</w:t>
            </w:r>
            <w:r>
              <w:rPr>
                <w:rFonts w:hint="eastAsia" w:ascii="宋体" w:hAnsi="宋体" w:cs="宋体"/>
                <w:b/>
                <w:bCs/>
                <w:color w:val="000000"/>
                <w:kern w:val="0"/>
                <w:sz w:val="21"/>
                <w:szCs w:val="21"/>
                <w:highlight w:val="none"/>
                <w:lang w:eastAsia="zh-CN"/>
              </w:rPr>
              <w:t>（</w:t>
            </w:r>
            <w:r>
              <w:rPr>
                <w:rFonts w:hint="eastAsia" w:ascii="宋体" w:hAnsi="宋体" w:cs="宋体"/>
                <w:b/>
                <w:bCs/>
                <w:color w:val="000000"/>
                <w:kern w:val="0"/>
                <w:sz w:val="21"/>
                <w:szCs w:val="21"/>
                <w:highlight w:val="none"/>
                <w:lang w:val="en-US" w:eastAsia="zh-CN"/>
              </w:rPr>
              <w:t>30分</w:t>
            </w:r>
            <w:r>
              <w:rPr>
                <w:rFonts w:hint="eastAsia" w:ascii="宋体" w:hAnsi="宋体" w:cs="宋体"/>
                <w:b/>
                <w:bCs/>
                <w:color w:val="000000"/>
                <w:kern w:val="0"/>
                <w:sz w:val="21"/>
                <w:szCs w:val="21"/>
                <w:highlight w:val="none"/>
                <w:lang w:eastAsia="zh-CN"/>
              </w:rPr>
              <w:t>）</w:t>
            </w:r>
          </w:p>
        </w:tc>
        <w:tc>
          <w:tcPr>
            <w:tcW w:w="2548" w:type="dxa"/>
            <w:vAlign w:val="center"/>
          </w:tcPr>
          <w:p w14:paraId="55120FC7">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投标报价得分30分</w:t>
            </w:r>
          </w:p>
        </w:tc>
        <w:tc>
          <w:tcPr>
            <w:tcW w:w="6061" w:type="dxa"/>
            <w:vAlign w:val="center"/>
          </w:tcPr>
          <w:p w14:paraId="364364FF">
            <w:pPr>
              <w:widowControl/>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价格项评审因素得分＝（评标基准价/投标报价）</w:t>
            </w:r>
            <w:r>
              <w:rPr>
                <w:rFonts w:hint="default" w:ascii="宋体" w:hAnsi="宋体" w:eastAsia="宋体" w:cs="宋体"/>
                <w:color w:val="000000"/>
                <w:kern w:val="0"/>
                <w:sz w:val="21"/>
                <w:szCs w:val="21"/>
                <w:highlight w:val="none"/>
                <w:lang w:val="en-US" w:eastAsia="zh-CN" w:bidi="ar-SA"/>
              </w:rPr>
              <w:t>×100×</w:t>
            </w:r>
            <w:r>
              <w:rPr>
                <w:rFonts w:hint="eastAsia" w:ascii="宋体" w:hAnsi="宋体" w:eastAsia="宋体" w:cs="宋体"/>
                <w:color w:val="000000"/>
                <w:kern w:val="0"/>
                <w:sz w:val="21"/>
                <w:szCs w:val="21"/>
                <w:highlight w:val="none"/>
                <w:lang w:val="en-US" w:eastAsia="zh-CN" w:bidi="ar-SA"/>
              </w:rPr>
              <w:t>价格项评审因素所占的权重（30%） （注：满足比选文件要求且投标价格最低的投标报价为评标基准价。）</w:t>
            </w:r>
          </w:p>
        </w:tc>
      </w:tr>
    </w:tbl>
    <w:p w14:paraId="72AA6F46"/>
    <w:p w14:paraId="4E50FA49">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14:paraId="71C78A9F">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根据排序，得分最高的比选投标人作为本项目比选中标人并与比选招标人签订合同。</w:t>
      </w:r>
    </w:p>
    <w:p w14:paraId="2FCF0A27">
      <w:pPr>
        <w:pStyle w:val="4"/>
        <w:rPr>
          <w:rFonts w:hint="eastAsia"/>
          <w:lang w:eastAsia="zh-CN"/>
        </w:rPr>
      </w:pPr>
    </w:p>
    <w:sectPr>
      <w:headerReference r:id="rId3" w:type="default"/>
      <w:footerReference r:id="rId4"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51EB4">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5665B">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95665B">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82FDD">
    <w:pPr>
      <w:pStyle w:val="7"/>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ZDhkMWNmYjZhNTdlNjU0OWNkM2M4NTM3NmYwN2E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C6C96"/>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1F56B1"/>
    <w:rsid w:val="012810B4"/>
    <w:rsid w:val="01560EE5"/>
    <w:rsid w:val="0167398B"/>
    <w:rsid w:val="024C4475"/>
    <w:rsid w:val="02F736D5"/>
    <w:rsid w:val="03301278"/>
    <w:rsid w:val="03EC5633"/>
    <w:rsid w:val="04CA7814"/>
    <w:rsid w:val="04E47A17"/>
    <w:rsid w:val="05A9018D"/>
    <w:rsid w:val="05D43B35"/>
    <w:rsid w:val="06AF1515"/>
    <w:rsid w:val="07472E25"/>
    <w:rsid w:val="07DF4970"/>
    <w:rsid w:val="07EA73C5"/>
    <w:rsid w:val="086752B3"/>
    <w:rsid w:val="0872235B"/>
    <w:rsid w:val="08D4742C"/>
    <w:rsid w:val="09245E8F"/>
    <w:rsid w:val="0A2B151B"/>
    <w:rsid w:val="0B0D430E"/>
    <w:rsid w:val="0B657E3F"/>
    <w:rsid w:val="0B7F16DF"/>
    <w:rsid w:val="0BBC0FA3"/>
    <w:rsid w:val="0C626212"/>
    <w:rsid w:val="0C697B8D"/>
    <w:rsid w:val="0D780A9E"/>
    <w:rsid w:val="0D9910B0"/>
    <w:rsid w:val="0E042561"/>
    <w:rsid w:val="0EAA5270"/>
    <w:rsid w:val="0EE73C05"/>
    <w:rsid w:val="0FE01D5B"/>
    <w:rsid w:val="10032DAD"/>
    <w:rsid w:val="10E07932"/>
    <w:rsid w:val="110A3474"/>
    <w:rsid w:val="11142614"/>
    <w:rsid w:val="11341EA7"/>
    <w:rsid w:val="114612EE"/>
    <w:rsid w:val="11E0036E"/>
    <w:rsid w:val="11E7459E"/>
    <w:rsid w:val="124E6C0B"/>
    <w:rsid w:val="12FF02C4"/>
    <w:rsid w:val="132B04D6"/>
    <w:rsid w:val="144B713C"/>
    <w:rsid w:val="144D1BB8"/>
    <w:rsid w:val="144D579D"/>
    <w:rsid w:val="145F1965"/>
    <w:rsid w:val="14E15A4F"/>
    <w:rsid w:val="14EB0D8E"/>
    <w:rsid w:val="151F6992"/>
    <w:rsid w:val="153825F0"/>
    <w:rsid w:val="155D253C"/>
    <w:rsid w:val="15A9066B"/>
    <w:rsid w:val="15BD6592"/>
    <w:rsid w:val="161B669A"/>
    <w:rsid w:val="169C77DB"/>
    <w:rsid w:val="16C8503C"/>
    <w:rsid w:val="16F24C74"/>
    <w:rsid w:val="16F86A93"/>
    <w:rsid w:val="176754FB"/>
    <w:rsid w:val="19105622"/>
    <w:rsid w:val="19917927"/>
    <w:rsid w:val="19E04DC9"/>
    <w:rsid w:val="19E716B5"/>
    <w:rsid w:val="1A0C111B"/>
    <w:rsid w:val="1A3874FC"/>
    <w:rsid w:val="1B20131D"/>
    <w:rsid w:val="1B2F38E1"/>
    <w:rsid w:val="1B4057E3"/>
    <w:rsid w:val="1BF725E3"/>
    <w:rsid w:val="1C2473A2"/>
    <w:rsid w:val="1D240BBE"/>
    <w:rsid w:val="1D351539"/>
    <w:rsid w:val="1D845CE9"/>
    <w:rsid w:val="1DCB0EC0"/>
    <w:rsid w:val="1DF06BC4"/>
    <w:rsid w:val="1E167054"/>
    <w:rsid w:val="1E4E6C15"/>
    <w:rsid w:val="1E5919C3"/>
    <w:rsid w:val="1E94061B"/>
    <w:rsid w:val="1EB569EA"/>
    <w:rsid w:val="1F5A661E"/>
    <w:rsid w:val="1FE93EF2"/>
    <w:rsid w:val="20B94664"/>
    <w:rsid w:val="20BD4F1E"/>
    <w:rsid w:val="20E06AFB"/>
    <w:rsid w:val="21B573DF"/>
    <w:rsid w:val="2229015B"/>
    <w:rsid w:val="22567BFC"/>
    <w:rsid w:val="22934484"/>
    <w:rsid w:val="22955210"/>
    <w:rsid w:val="234971CB"/>
    <w:rsid w:val="23F16B0C"/>
    <w:rsid w:val="25585215"/>
    <w:rsid w:val="260F2F4A"/>
    <w:rsid w:val="26312FF5"/>
    <w:rsid w:val="27670C43"/>
    <w:rsid w:val="27F76F67"/>
    <w:rsid w:val="281C74E0"/>
    <w:rsid w:val="28227487"/>
    <w:rsid w:val="293D5C68"/>
    <w:rsid w:val="2A3E6B37"/>
    <w:rsid w:val="2A515C6C"/>
    <w:rsid w:val="2A7C19A5"/>
    <w:rsid w:val="2B3F1219"/>
    <w:rsid w:val="2B4B77A9"/>
    <w:rsid w:val="2BD72012"/>
    <w:rsid w:val="2BEF3496"/>
    <w:rsid w:val="2C7F33F4"/>
    <w:rsid w:val="2CBE15DF"/>
    <w:rsid w:val="2E1E1E9D"/>
    <w:rsid w:val="2E5C5D76"/>
    <w:rsid w:val="2E67296D"/>
    <w:rsid w:val="2E813A2E"/>
    <w:rsid w:val="2ED01A67"/>
    <w:rsid w:val="2EDC4D96"/>
    <w:rsid w:val="2FCC0CD9"/>
    <w:rsid w:val="309051B6"/>
    <w:rsid w:val="30BB178B"/>
    <w:rsid w:val="3169177A"/>
    <w:rsid w:val="31846257"/>
    <w:rsid w:val="319A651A"/>
    <w:rsid w:val="31C705FE"/>
    <w:rsid w:val="31E542D4"/>
    <w:rsid w:val="324B7372"/>
    <w:rsid w:val="324F1FD6"/>
    <w:rsid w:val="341D6C13"/>
    <w:rsid w:val="3483778D"/>
    <w:rsid w:val="3485544C"/>
    <w:rsid w:val="349B4F01"/>
    <w:rsid w:val="34B76D87"/>
    <w:rsid w:val="34CA10CC"/>
    <w:rsid w:val="358932A9"/>
    <w:rsid w:val="35C91A6F"/>
    <w:rsid w:val="364423AB"/>
    <w:rsid w:val="368E25AF"/>
    <w:rsid w:val="374241B1"/>
    <w:rsid w:val="37A17DFB"/>
    <w:rsid w:val="37B246C5"/>
    <w:rsid w:val="38246846"/>
    <w:rsid w:val="38BA7DE8"/>
    <w:rsid w:val="38C871CC"/>
    <w:rsid w:val="396B18F3"/>
    <w:rsid w:val="39C16CA5"/>
    <w:rsid w:val="3A4024B3"/>
    <w:rsid w:val="3A62773C"/>
    <w:rsid w:val="3AB24F6F"/>
    <w:rsid w:val="3AB94550"/>
    <w:rsid w:val="3AED6192"/>
    <w:rsid w:val="3BA61806"/>
    <w:rsid w:val="3BC525E8"/>
    <w:rsid w:val="3C0C7C67"/>
    <w:rsid w:val="3CE14E72"/>
    <w:rsid w:val="3DEC6C1A"/>
    <w:rsid w:val="3E304B6F"/>
    <w:rsid w:val="3E5645AE"/>
    <w:rsid w:val="3F1B617E"/>
    <w:rsid w:val="3F6B49E7"/>
    <w:rsid w:val="3FCC6AD3"/>
    <w:rsid w:val="407713CF"/>
    <w:rsid w:val="411C0F21"/>
    <w:rsid w:val="417413BF"/>
    <w:rsid w:val="41A04F09"/>
    <w:rsid w:val="41B12925"/>
    <w:rsid w:val="41D25675"/>
    <w:rsid w:val="420B72FB"/>
    <w:rsid w:val="422E4A30"/>
    <w:rsid w:val="427E3424"/>
    <w:rsid w:val="42CB6BCE"/>
    <w:rsid w:val="43282273"/>
    <w:rsid w:val="44585060"/>
    <w:rsid w:val="457B0865"/>
    <w:rsid w:val="462B5AED"/>
    <w:rsid w:val="4641218F"/>
    <w:rsid w:val="46824B6B"/>
    <w:rsid w:val="46A05DFB"/>
    <w:rsid w:val="47A35F49"/>
    <w:rsid w:val="486C41D0"/>
    <w:rsid w:val="48DD3AFF"/>
    <w:rsid w:val="4A433654"/>
    <w:rsid w:val="4B1B6F3D"/>
    <w:rsid w:val="4B3F0159"/>
    <w:rsid w:val="4BB519A4"/>
    <w:rsid w:val="4CA22CD2"/>
    <w:rsid w:val="4CB844C2"/>
    <w:rsid w:val="4CD22D8F"/>
    <w:rsid w:val="4CDB7D50"/>
    <w:rsid w:val="4CE865CF"/>
    <w:rsid w:val="4D0C49B3"/>
    <w:rsid w:val="4DF87E62"/>
    <w:rsid w:val="4ED15FDA"/>
    <w:rsid w:val="4F693909"/>
    <w:rsid w:val="4FA05F31"/>
    <w:rsid w:val="4FE22BBF"/>
    <w:rsid w:val="504F2826"/>
    <w:rsid w:val="505E03D0"/>
    <w:rsid w:val="506D51E4"/>
    <w:rsid w:val="50842675"/>
    <w:rsid w:val="50E62CF2"/>
    <w:rsid w:val="50F61DA8"/>
    <w:rsid w:val="513673A4"/>
    <w:rsid w:val="52162A82"/>
    <w:rsid w:val="52F17474"/>
    <w:rsid w:val="539775BC"/>
    <w:rsid w:val="539C2AF7"/>
    <w:rsid w:val="542B1C64"/>
    <w:rsid w:val="545D4B80"/>
    <w:rsid w:val="54733718"/>
    <w:rsid w:val="54C539E4"/>
    <w:rsid w:val="552767BC"/>
    <w:rsid w:val="554D5E9C"/>
    <w:rsid w:val="55F77691"/>
    <w:rsid w:val="57880077"/>
    <w:rsid w:val="57D30508"/>
    <w:rsid w:val="58F44C79"/>
    <w:rsid w:val="59223EB6"/>
    <w:rsid w:val="59450CF0"/>
    <w:rsid w:val="59CC2262"/>
    <w:rsid w:val="5A20770E"/>
    <w:rsid w:val="5ABC1BBF"/>
    <w:rsid w:val="5ACD5E2C"/>
    <w:rsid w:val="5ADB5852"/>
    <w:rsid w:val="5B9D46F0"/>
    <w:rsid w:val="5BBA1DA4"/>
    <w:rsid w:val="5D5548F7"/>
    <w:rsid w:val="5D992979"/>
    <w:rsid w:val="5E3621C1"/>
    <w:rsid w:val="5E782277"/>
    <w:rsid w:val="5E917E2C"/>
    <w:rsid w:val="5ED03A93"/>
    <w:rsid w:val="5F5A15AE"/>
    <w:rsid w:val="5FE75693"/>
    <w:rsid w:val="602E725E"/>
    <w:rsid w:val="603D1753"/>
    <w:rsid w:val="60FF065F"/>
    <w:rsid w:val="62232491"/>
    <w:rsid w:val="636D59F7"/>
    <w:rsid w:val="63E1229E"/>
    <w:rsid w:val="64C56F22"/>
    <w:rsid w:val="65652A5B"/>
    <w:rsid w:val="67460BBF"/>
    <w:rsid w:val="67811C48"/>
    <w:rsid w:val="67A9539F"/>
    <w:rsid w:val="689F385E"/>
    <w:rsid w:val="68AC26C1"/>
    <w:rsid w:val="69DC785F"/>
    <w:rsid w:val="69FF4F50"/>
    <w:rsid w:val="6A1009F8"/>
    <w:rsid w:val="6A5808A5"/>
    <w:rsid w:val="6A62482F"/>
    <w:rsid w:val="6AE34B4E"/>
    <w:rsid w:val="6B1B6095"/>
    <w:rsid w:val="6BCF0C2E"/>
    <w:rsid w:val="6C6C7D24"/>
    <w:rsid w:val="6C8E0AE9"/>
    <w:rsid w:val="6CAA2CB7"/>
    <w:rsid w:val="6D042B59"/>
    <w:rsid w:val="6EF40649"/>
    <w:rsid w:val="6F317710"/>
    <w:rsid w:val="70910BA8"/>
    <w:rsid w:val="710042F6"/>
    <w:rsid w:val="714B5350"/>
    <w:rsid w:val="71C04BA8"/>
    <w:rsid w:val="724C19C2"/>
    <w:rsid w:val="72A96818"/>
    <w:rsid w:val="73AE11EE"/>
    <w:rsid w:val="73CB395E"/>
    <w:rsid w:val="74370701"/>
    <w:rsid w:val="748C7224"/>
    <w:rsid w:val="748F7EBB"/>
    <w:rsid w:val="7501578F"/>
    <w:rsid w:val="77705C1A"/>
    <w:rsid w:val="77783405"/>
    <w:rsid w:val="77B738D2"/>
    <w:rsid w:val="77DC6411"/>
    <w:rsid w:val="78216CB5"/>
    <w:rsid w:val="7846008F"/>
    <w:rsid w:val="79BC6C95"/>
    <w:rsid w:val="7A7C32C7"/>
    <w:rsid w:val="7A9167A5"/>
    <w:rsid w:val="7A9937C8"/>
    <w:rsid w:val="7ADC79A2"/>
    <w:rsid w:val="7B146C82"/>
    <w:rsid w:val="7B507329"/>
    <w:rsid w:val="7C074040"/>
    <w:rsid w:val="7CC27F6F"/>
    <w:rsid w:val="7CF92428"/>
    <w:rsid w:val="7DE20C36"/>
    <w:rsid w:val="7DEA207C"/>
    <w:rsid w:val="7ED34E22"/>
    <w:rsid w:val="7EFC053E"/>
    <w:rsid w:val="7F4E05AB"/>
    <w:rsid w:val="7F912972"/>
    <w:rsid w:val="7FAE27EC"/>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autoRedefine/>
    <w:qFormat/>
    <w:uiPriority w:val="0"/>
    <w:pPr>
      <w:keepNext/>
      <w:keepLines/>
      <w:spacing w:line="360" w:lineRule="auto"/>
      <w:outlineLvl w:val="0"/>
    </w:pPr>
    <w:rPr>
      <w:b/>
      <w:bCs/>
      <w:kern w:val="44"/>
      <w:sz w:val="32"/>
      <w:szCs w:val="44"/>
    </w:rPr>
  </w:style>
  <w:style w:type="paragraph" w:styleId="3">
    <w:name w:val="heading 2"/>
    <w:basedOn w:val="1"/>
    <w:next w:val="1"/>
    <w:autoRedefine/>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2">
    <w:name w:val="Default Paragraph Font"/>
    <w:autoRedefine/>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Balloon Text"/>
    <w:basedOn w:val="1"/>
    <w:link w:val="21"/>
    <w:qFormat/>
    <w:uiPriority w:val="0"/>
    <w:rPr>
      <w:sz w:val="18"/>
      <w:szCs w:val="18"/>
    </w:rPr>
  </w:style>
  <w:style w:type="paragraph" w:styleId="6">
    <w:name w:val="footer"/>
    <w:basedOn w:val="1"/>
    <w:link w:val="19"/>
    <w:autoRedefine/>
    <w:qFormat/>
    <w:uiPriority w:val="99"/>
    <w:pPr>
      <w:tabs>
        <w:tab w:val="center" w:pos="4153"/>
        <w:tab w:val="right" w:pos="8306"/>
      </w:tabs>
      <w:snapToGrid w:val="0"/>
      <w:jc w:val="left"/>
    </w:pPr>
    <w:rPr>
      <w:sz w:val="18"/>
      <w:szCs w:val="18"/>
    </w:rPr>
  </w:style>
  <w:style w:type="paragraph" w:styleId="7">
    <w:name w:val="header"/>
    <w:basedOn w:val="1"/>
    <w:link w:val="17"/>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2"/>
    <w:autoRedefine/>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9">
    <w:name w:val="Body Text First Indent"/>
    <w:basedOn w:val="1"/>
    <w:qFormat/>
    <w:uiPriority w:val="0"/>
    <w:pPr>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customStyle="1" w:styleId="14">
    <w:name w:val="标题 1 Char"/>
    <w:basedOn w:val="12"/>
    <w:link w:val="2"/>
    <w:autoRedefine/>
    <w:qFormat/>
    <w:uiPriority w:val="0"/>
    <w:rPr>
      <w:b/>
      <w:bCs/>
      <w:kern w:val="44"/>
      <w:sz w:val="32"/>
      <w:szCs w:val="44"/>
    </w:rPr>
  </w:style>
  <w:style w:type="character" w:customStyle="1" w:styleId="15">
    <w:name w:val="列出段落 Char"/>
    <w:link w:val="16"/>
    <w:autoRedefine/>
    <w:qFormat/>
    <w:uiPriority w:val="0"/>
    <w:rPr>
      <w:kern w:val="2"/>
      <w:sz w:val="21"/>
    </w:rPr>
  </w:style>
  <w:style w:type="paragraph" w:customStyle="1" w:styleId="16">
    <w:name w:val="List Paragraph"/>
    <w:basedOn w:val="1"/>
    <w:link w:val="15"/>
    <w:autoRedefine/>
    <w:qFormat/>
    <w:uiPriority w:val="0"/>
    <w:pPr>
      <w:ind w:firstLine="420" w:firstLineChars="200"/>
    </w:pPr>
    <w:rPr>
      <w:szCs w:val="20"/>
    </w:rPr>
  </w:style>
  <w:style w:type="character" w:customStyle="1" w:styleId="17">
    <w:name w:val="页眉 Char"/>
    <w:link w:val="7"/>
    <w:autoRedefine/>
    <w:qFormat/>
    <w:uiPriority w:val="99"/>
    <w:rPr>
      <w:kern w:val="2"/>
      <w:sz w:val="18"/>
      <w:szCs w:val="18"/>
    </w:rPr>
  </w:style>
  <w:style w:type="character" w:customStyle="1" w:styleId="18">
    <w:name w:val="页眉 Char1"/>
    <w:basedOn w:val="12"/>
    <w:autoRedefine/>
    <w:qFormat/>
    <w:uiPriority w:val="0"/>
    <w:rPr>
      <w:kern w:val="2"/>
      <w:sz w:val="18"/>
      <w:szCs w:val="18"/>
    </w:rPr>
  </w:style>
  <w:style w:type="character" w:customStyle="1" w:styleId="19">
    <w:name w:val="页脚 Char"/>
    <w:basedOn w:val="12"/>
    <w:link w:val="6"/>
    <w:autoRedefine/>
    <w:qFormat/>
    <w:uiPriority w:val="99"/>
    <w:rPr>
      <w:kern w:val="2"/>
      <w:sz w:val="18"/>
      <w:szCs w:val="18"/>
    </w:rPr>
  </w:style>
  <w:style w:type="paragraph" w:customStyle="1" w:styleId="20">
    <w:name w:val="Normal_3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批注框文本 Char"/>
    <w:basedOn w:val="12"/>
    <w:link w:val="5"/>
    <w:autoRedefine/>
    <w:qFormat/>
    <w:uiPriority w:val="0"/>
    <w:rPr>
      <w:kern w:val="2"/>
      <w:sz w:val="18"/>
      <w:szCs w:val="18"/>
    </w:rPr>
  </w:style>
  <w:style w:type="character" w:customStyle="1" w:styleId="22">
    <w:name w:val="副标题 Char"/>
    <w:basedOn w:val="12"/>
    <w:link w:val="8"/>
    <w:autoRedefine/>
    <w:qFormat/>
    <w:uiPriority w:val="0"/>
    <w:rPr>
      <w:rFonts w:asciiTheme="majorHAnsi" w:hAnsiTheme="majorHAnsi" w:cstheme="majorBidi"/>
      <w:b/>
      <w:bCs/>
      <w:kern w:val="28"/>
      <w:sz w:val="32"/>
      <w:szCs w:val="32"/>
    </w:rPr>
  </w:style>
  <w:style w:type="paragraph" w:customStyle="1" w:styleId="23">
    <w:name w:val="Normal_3"/>
    <w:autoRedefine/>
    <w:qFormat/>
    <w:uiPriority w:val="0"/>
    <w:rPr>
      <w:rFonts w:ascii="Times New Roman" w:hAnsi="Times New Roman" w:eastAsia="宋体" w:cs="Times New Roman"/>
      <w:sz w:val="24"/>
      <w:szCs w:val="24"/>
      <w:lang w:val="en-US" w:eastAsia="zh-CN" w:bidi="ar-SA"/>
    </w:rPr>
  </w:style>
  <w:style w:type="paragraph" w:customStyle="1" w:styleId="24">
    <w:name w:val="正文_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3"/>
    <w:autoRedefine/>
    <w:qFormat/>
    <w:uiPriority w:val="0"/>
    <w:rPr>
      <w:rFonts w:ascii="Times New Roman" w:hAnsi="Times New Roman" w:eastAsia="Times New Roman" w:cs="Times New Roman"/>
      <w:sz w:val="24"/>
      <w:szCs w:val="24"/>
      <w:lang w:val="en-US" w:eastAsia="zh-CN" w:bidi="ar-SA"/>
    </w:rPr>
  </w:style>
  <w:style w:type="paragraph" w:customStyle="1" w:styleId="29">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Normal_15"/>
    <w:autoRedefine/>
    <w:qFormat/>
    <w:uiPriority w:val="0"/>
    <w:rPr>
      <w:rFonts w:ascii="Times New Roman" w:hAnsi="Times New Roman" w:eastAsia="Times New Roman" w:cs="Times New Roman"/>
      <w:sz w:val="24"/>
      <w:szCs w:val="24"/>
      <w:lang w:val="en-US" w:eastAsia="zh-CN" w:bidi="ar-SA"/>
    </w:rPr>
  </w:style>
  <w:style w:type="paragraph" w:customStyle="1" w:styleId="31">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Normal_0"/>
    <w:autoRedefine/>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3535</Words>
  <Characters>3732</Characters>
  <Lines>38</Lines>
  <Paragraphs>10</Paragraphs>
  <TotalTime>0</TotalTime>
  <ScaleCrop>false</ScaleCrop>
  <LinksUpToDate>false</LinksUpToDate>
  <CharactersWithSpaces>3757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刘元（小号）</cp:lastModifiedBy>
  <cp:lastPrinted>2025-04-08T02:07:00Z</cp:lastPrinted>
  <dcterms:modified xsi:type="dcterms:W3CDTF">2025-06-26T02:40:56Z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0F8C5D49059945639257C1628896DD54_13</vt:lpwstr>
  </property>
  <property fmtid="{D5CDD505-2E9C-101B-9397-08002B2CF9AE}" pid="4" name="KSOTemplateDocerSaveRecord">
    <vt:lpwstr>eyJoZGlkIjoiNTEyOWUwMjAyYzg3YmNiYTJhYzgwMDkxNjMyNDI2Y2YiLCJ1c2VySWQiOiI2Nzc1Mzc5NDMifQ==</vt:lpwstr>
  </property>
</Properties>
</file>