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rPr>
              <w:t>投标方具备有效的营业执照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投标</w:t>
            </w:r>
            <w:r>
              <w:rPr>
                <w:rFonts w:hint="default" w:ascii="宋体" w:hAnsi="宋体" w:eastAsia="宋体" w:cs="宋体"/>
                <w:color w:val="auto"/>
                <w:kern w:val="0"/>
                <w:sz w:val="21"/>
                <w:szCs w:val="21"/>
                <w:lang w:val="en-US" w:eastAsia="zh-CN"/>
              </w:rPr>
              <w:t>文件</w:t>
            </w:r>
            <w:r>
              <w:rPr>
                <w:rFonts w:hint="eastAsia" w:ascii="宋体" w:hAnsi="宋体" w:eastAsia="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附</w:t>
            </w:r>
            <w:r>
              <w:rPr>
                <w:rFonts w:hint="eastAsia" w:ascii="宋体" w:hAnsi="宋体" w:eastAsia="宋体" w:cs="宋体"/>
                <w:color w:val="auto"/>
                <w:kern w:val="0"/>
                <w:sz w:val="21"/>
                <w:szCs w:val="21"/>
                <w:lang w:val="en-US" w:eastAsia="zh-CN"/>
              </w:rPr>
              <w:t>营业执照复印件</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highlight w:val="none"/>
                <w:lang w:val="en-US" w:eastAsia="zh-CN"/>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须具备建设行政主管部门颁发的【房屋建筑工程专业监理】乙级（含）以上资质或【工程监理综合资质】或【建筑工程专业监理】乙级（含）以上资质，并在人员、设备、资金等方面具有相应的能力（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（1）投标人不得存在下列情形之一： </w:t>
            </w:r>
          </w:p>
          <w:p w14:paraId="509CB484">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①正处于被责令停业，投标资格被暂停或取消</w:t>
            </w:r>
            <w:r>
              <w:rPr>
                <w:rFonts w:hint="eastAsia" w:ascii="宋体" w:hAnsi="宋体" w:cs="宋体"/>
                <w:color w:val="auto"/>
                <w:kern w:val="0"/>
                <w:sz w:val="21"/>
                <w:szCs w:val="21"/>
                <w:lang w:val="en-US" w:eastAsia="zh-CN"/>
              </w:rPr>
              <w:t>；</w:t>
            </w:r>
          </w:p>
          <w:p w14:paraId="1F4447C3">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年1月1日至今）内有骗取中标和严重违约及</w:t>
            </w:r>
            <w:r>
              <w:rPr>
                <w:rFonts w:hint="eastAsia"/>
                <w:color w:val="auto"/>
                <w:highlight w:val="none"/>
                <w:lang w:eastAsia="zh-CN"/>
              </w:rPr>
              <w:t>重大工程质量问题</w:t>
            </w:r>
            <w:r>
              <w:rPr>
                <w:rFonts w:hint="eastAsia" w:ascii="宋体" w:hAnsi="宋体" w:eastAsia="宋体" w:cs="宋体"/>
                <w:color w:val="auto"/>
                <w:kern w:val="0"/>
                <w:sz w:val="21"/>
                <w:szCs w:val="21"/>
                <w:lang w:val="en-US" w:eastAsia="zh-CN"/>
              </w:rPr>
              <w:t>；（投标文件需附相关承诺书并加盖公章，格式详见比选文件中投标文件格式；新注册企业提供从公司</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年度至今的承诺书）。</w:t>
            </w:r>
          </w:p>
          <w:p w14:paraId="7C23ED7A">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auto"/>
                <w:kern w:val="0"/>
                <w:sz w:val="21"/>
                <w:szCs w:val="21"/>
                <w:highlight w:val="yellow"/>
              </w:rPr>
            </w:pPr>
            <w:r>
              <w:rPr>
                <w:rFonts w:hint="eastAsia" w:ascii="宋体" w:hAnsi="宋体" w:eastAsia="宋体" w:cs="宋体"/>
                <w:color w:val="auto"/>
                <w:kern w:val="0"/>
                <w:sz w:val="21"/>
                <w:szCs w:val="21"/>
                <w:lang w:val="en-US" w:eastAsia="zh-CN"/>
              </w:rPr>
              <w:t>（3）在“国家企业信用信息公示系统”（http://www.gsxt.gov.cn/）中未被列入“严重违法失信企业名单”。（投标文件需附网页查询结果截图）</w:t>
            </w:r>
            <w:r>
              <w:rPr>
                <w:rFonts w:hint="eastAsia" w:ascii="宋体" w:hAnsi="宋体" w:cs="宋体"/>
                <w:color w:val="auto"/>
                <w:kern w:val="0"/>
                <w:sz w:val="21"/>
                <w:szCs w:val="21"/>
                <w:lang w:val="en-US" w:eastAsia="zh-CN"/>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年1月1日至今）财务状况良好，没有处于财产被接管、破产或其他关、停、并、转状态（投标文件需附相关承诺并加盖公章，新</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的企业，需提供</w:t>
            </w:r>
            <w:r>
              <w:rPr>
                <w:rFonts w:hint="eastAsia" w:ascii="宋体" w:hAnsi="宋体" w:cs="宋体"/>
                <w:color w:val="auto"/>
                <w:kern w:val="0"/>
                <w:sz w:val="21"/>
                <w:szCs w:val="21"/>
                <w:lang w:val="en-US" w:eastAsia="zh-CN"/>
              </w:rPr>
              <w:t>注册年度</w:t>
            </w:r>
            <w:r>
              <w:rPr>
                <w:rFonts w:hint="eastAsia" w:ascii="宋体" w:hAnsi="宋体" w:eastAsia="宋体" w:cs="宋体"/>
                <w:color w:val="auto"/>
                <w:kern w:val="0"/>
                <w:sz w:val="21"/>
                <w:szCs w:val="21"/>
                <w:lang w:val="en-US" w:eastAsia="zh-CN"/>
              </w:rPr>
              <w:t>至今的承诺书，格式详见比选文件中投标文件格式）</w:t>
            </w:r>
            <w:r>
              <w:rPr>
                <w:rFonts w:hint="eastAsia" w:ascii="宋体" w:hAnsi="宋体" w:cs="宋体"/>
                <w:color w:val="auto"/>
                <w:kern w:val="0"/>
                <w:sz w:val="21"/>
                <w:szCs w:val="21"/>
                <w:lang w:val="en-US" w:eastAsia="zh-CN"/>
              </w:rPr>
              <w:t>。</w:t>
            </w:r>
          </w:p>
        </w:tc>
      </w:tr>
      <w:tr w14:paraId="37A42A92">
        <w:tblPrEx>
          <w:tblCellMar>
            <w:top w:w="0" w:type="dxa"/>
            <w:left w:w="108" w:type="dxa"/>
            <w:bottom w:w="0" w:type="dxa"/>
            <w:right w:w="108" w:type="dxa"/>
          </w:tblCellMar>
        </w:tblPrEx>
        <w:trPr>
          <w:trHeight w:val="1016"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auto"/>
                <w:kern w:val="0"/>
                <w:sz w:val="21"/>
                <w:szCs w:val="21"/>
                <w:lang w:val="en-US"/>
              </w:rPr>
            </w:pPr>
            <w:r>
              <w:rPr>
                <w:rFonts w:hint="eastAsia" w:ascii="宋体" w:hAnsi="宋体" w:cs="宋体"/>
                <w:b/>
                <w:bCs/>
                <w:color w:val="auto"/>
                <w:kern w:val="0"/>
                <w:sz w:val="21"/>
                <w:szCs w:val="21"/>
                <w:lang w:val="en-US" w:eastAsia="zh-CN"/>
              </w:rPr>
              <w:t>项目负责人            （总监理工程师）</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3DA93427">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拟派项目总监理工程师须具备房屋建筑工程专业国家注册监理工程师资格，必须在本公司注册，且在有效期内（投标文件须附资格证和注册证书复印件）</w:t>
            </w:r>
          </w:p>
        </w:tc>
      </w:tr>
      <w:tr w14:paraId="0E0FB83C">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4940D119">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（1）专业监理工程师配备：至少</w:t>
            </w:r>
            <w:r>
              <w:rPr>
                <w:rFonts w:hint="eastAsia" w:ascii="宋体" w:hAnsi="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配备 3名专业监理工程师（房屋建筑工程专业监理工程师1名，给排水工程专业或暖通工程专业监理工程师1名，电气工程专业监理工程师1名）；</w:t>
            </w:r>
          </w:p>
          <w:p w14:paraId="7C139956">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default" w:ascii="宋体" w:hAnsi="宋体" w:eastAsia="宋体" w:cs="宋体"/>
                <w:color w:val="auto"/>
                <w:kern w:val="0"/>
                <w:sz w:val="21"/>
                <w:szCs w:val="21"/>
                <w:highlight w:val="none"/>
                <w:lang w:val="en-US" w:eastAsia="zh-CN"/>
              </w:rPr>
              <w:t>）专职安全监理人员配备：</w:t>
            </w:r>
            <w:r>
              <w:rPr>
                <w:rFonts w:hint="eastAsia" w:ascii="宋体" w:hAnsi="宋体" w:cs="宋体"/>
                <w:color w:val="auto"/>
                <w:kern w:val="0"/>
                <w:sz w:val="21"/>
                <w:szCs w:val="21"/>
                <w:highlight w:val="none"/>
                <w:lang w:val="en-US" w:eastAsia="zh-CN"/>
              </w:rPr>
              <w:t>需</w:t>
            </w:r>
            <w:r>
              <w:rPr>
                <w:rFonts w:hint="default" w:ascii="宋体" w:hAnsi="宋体" w:eastAsia="宋体" w:cs="宋体"/>
                <w:color w:val="auto"/>
                <w:kern w:val="0"/>
                <w:sz w:val="21"/>
                <w:szCs w:val="21"/>
                <w:highlight w:val="none"/>
                <w:lang w:val="en-US" w:eastAsia="zh-CN"/>
              </w:rPr>
              <w:t>配备1名专职安全监理人员；</w:t>
            </w:r>
          </w:p>
          <w:p w14:paraId="79C7F0C8">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r>
              <w:rPr>
                <w:rFonts w:hint="default" w:ascii="宋体" w:hAnsi="宋体" w:eastAsia="宋体" w:cs="宋体"/>
                <w:color w:val="auto"/>
                <w:kern w:val="0"/>
                <w:sz w:val="21"/>
                <w:szCs w:val="21"/>
                <w:lang w:val="en-US" w:eastAsia="zh-CN"/>
              </w:rPr>
              <w:t>上述人员必须为本公司人员且证明资料在有效期内，并在投标文件中附以下资料：</w:t>
            </w:r>
          </w:p>
          <w:p w14:paraId="49C5FD2E">
            <w:pPr>
              <w:widowControl/>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lang w:val="en-US" w:eastAsia="zh-CN"/>
              </w:rPr>
              <w:t>①专业以资格证书或岗位证书为准，如上述证件未注明专业的则需要同时提供相关专业的职称证书</w:t>
            </w:r>
            <w:r>
              <w:rPr>
                <w:rFonts w:hint="default" w:ascii="宋体" w:hAnsi="宋体" w:eastAsia="宋体" w:cs="宋体"/>
                <w:color w:val="auto"/>
                <w:kern w:val="0"/>
                <w:sz w:val="21"/>
                <w:szCs w:val="21"/>
                <w:highlight w:val="none"/>
                <w:lang w:val="en-US" w:eastAsia="zh-CN"/>
              </w:rPr>
              <w:t>，专职安全监理人员须提供监理资格证书或岗位证书（不限专业）</w:t>
            </w:r>
            <w:r>
              <w:rPr>
                <w:rFonts w:hint="eastAsia" w:ascii="宋体" w:hAnsi="宋体" w:cs="宋体"/>
                <w:color w:val="auto"/>
                <w:kern w:val="0"/>
                <w:sz w:val="21"/>
                <w:szCs w:val="21"/>
                <w:highlight w:val="none"/>
                <w:lang w:val="en-US" w:eastAsia="zh-CN"/>
              </w:rPr>
              <w:t>。</w:t>
            </w:r>
            <w:r>
              <w:rPr>
                <w:rFonts w:hint="default" w:ascii="宋体" w:hAnsi="宋体" w:eastAsia="宋体" w:cs="宋体"/>
                <w:color w:val="auto"/>
                <w:kern w:val="0"/>
                <w:sz w:val="21"/>
                <w:szCs w:val="21"/>
                <w:highlight w:val="none"/>
                <w:lang w:val="en-US" w:eastAsia="zh-CN"/>
              </w:rPr>
              <w:t>专业监理工程师可由房屋建筑工程专业国家级注册监理工程师担任；</w:t>
            </w:r>
          </w:p>
          <w:p w14:paraId="14E07DE0">
            <w:pPr>
              <w:widowControl/>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②除内蒙古自治区</w:t>
            </w:r>
            <w:r>
              <w:rPr>
                <w:rFonts w:hint="eastAsia" w:ascii="宋体" w:hAnsi="宋体" w:cs="宋体"/>
                <w:color w:val="auto"/>
                <w:kern w:val="0"/>
                <w:sz w:val="21"/>
                <w:szCs w:val="21"/>
                <w:lang w:val="en-US" w:eastAsia="zh-CN"/>
              </w:rPr>
              <w:t>，</w:t>
            </w:r>
            <w:r>
              <w:rPr>
                <w:rFonts w:hint="default" w:ascii="宋体" w:hAnsi="宋体" w:eastAsia="宋体" w:cs="宋体"/>
                <w:color w:val="auto"/>
                <w:kern w:val="0"/>
                <w:sz w:val="21"/>
                <w:szCs w:val="21"/>
                <w:lang w:val="en-US" w:eastAsia="zh-CN"/>
              </w:rPr>
              <w:t>以外的自治区级或省级监理工程师必须保证本地区监理工程师可跨省执业，并提供有效的证明材料，如发证机构文件或网站截图等。</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以上所有</w:t>
            </w:r>
            <w:r>
              <w:rPr>
                <w:rFonts w:hint="eastAsia" w:ascii="宋体" w:hAnsi="宋体" w:cs="宋体"/>
                <w:color w:val="auto"/>
                <w:kern w:val="0"/>
                <w:sz w:val="21"/>
                <w:szCs w:val="21"/>
                <w:lang w:val="en-US" w:eastAsia="zh-CN"/>
              </w:rPr>
              <w:t>配备</w:t>
            </w:r>
            <w:r>
              <w:rPr>
                <w:rFonts w:hint="eastAsia" w:ascii="宋体" w:hAnsi="宋体" w:eastAsia="宋体" w:cs="宋体"/>
                <w:color w:val="auto"/>
                <w:kern w:val="0"/>
                <w:sz w:val="21"/>
                <w:szCs w:val="21"/>
                <w:lang w:val="en-US" w:eastAsia="zh-CN"/>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auto"/>
                <w:kern w:val="0"/>
                <w:sz w:val="21"/>
                <w:szCs w:val="21"/>
                <w:lang w:val="en-US" w:eastAsia="zh-CN"/>
              </w:rPr>
              <w:t>相关证明资料</w:t>
            </w:r>
            <w:r>
              <w:rPr>
                <w:rFonts w:hint="eastAsia" w:ascii="宋体" w:hAnsi="宋体" w:eastAsia="宋体" w:cs="宋体"/>
                <w:color w:val="auto"/>
                <w:kern w:val="0"/>
                <w:sz w:val="21"/>
                <w:szCs w:val="21"/>
                <w:lang w:val="en-US" w:eastAsia="zh-CN"/>
              </w:rPr>
              <w:t>复印件）</w:t>
            </w:r>
            <w:r>
              <w:rPr>
                <w:rFonts w:hint="eastAsia" w:ascii="宋体" w:hAnsi="宋体" w:cs="宋体"/>
                <w:color w:val="auto"/>
                <w:kern w:val="0"/>
                <w:sz w:val="21"/>
                <w:szCs w:val="21"/>
                <w:lang w:val="en-US" w:eastAsia="zh-CN"/>
              </w:rPr>
              <w:t>。</w:t>
            </w:r>
          </w:p>
        </w:tc>
      </w:tr>
      <w:tr w14:paraId="0479EF00">
        <w:tblPrEx>
          <w:tblCellMar>
            <w:top w:w="0" w:type="dxa"/>
            <w:left w:w="108" w:type="dxa"/>
            <w:bottom w:w="0" w:type="dxa"/>
            <w:right w:w="108" w:type="dxa"/>
          </w:tblCellMar>
        </w:tblPrEx>
        <w:trPr>
          <w:trHeight w:val="839"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23DC522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 xml:space="preserve">2023年1月1日至今，至少提供2项单项合同价为20万元（含）以上的建筑工程监理业绩（投标文件需附合同复印件）。 </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符合性</w:t>
            </w:r>
            <w:r>
              <w:rPr>
                <w:rFonts w:hint="eastAsia" w:ascii="宋体" w:hAnsi="宋体" w:cs="宋体"/>
                <w:b/>
                <w:bCs/>
                <w:color w:val="auto"/>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highlight w:val="none"/>
              </w:rPr>
              <w:t>投标文件规范性</w:t>
            </w:r>
            <w:r>
              <w:rPr>
                <w:rFonts w:hint="eastAsia" w:ascii="宋体" w:hAnsi="宋体" w:cs="宋体"/>
                <w:b/>
                <w:bCs/>
                <w:color w:val="auto"/>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投标文件应采用胶粘方式左侧装订，不得采用活页</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夹等可随时拆换的方式装订，不得有零散页</w:t>
            </w:r>
            <w:r>
              <w:rPr>
                <w:rFonts w:hint="eastAsia" w:ascii="宋体" w:hAnsi="宋体" w:cs="宋体"/>
                <w:color w:val="auto"/>
                <w:kern w:val="0"/>
                <w:sz w:val="21"/>
                <w:szCs w:val="21"/>
                <w:highlight w:val="none"/>
                <w:lang w:eastAsia="zh-CN"/>
              </w:rPr>
              <w:t>；</w:t>
            </w:r>
          </w:p>
          <w:p w14:paraId="774BF015">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的签署、盖章、涂改、删除、插字、公章使用等符合</w:t>
            </w:r>
            <w:r>
              <w:rPr>
                <w:rFonts w:hint="eastAsia" w:ascii="宋体" w:hAnsi="宋体" w:cs="宋体"/>
                <w:color w:val="auto"/>
                <w:kern w:val="0"/>
                <w:sz w:val="21"/>
                <w:szCs w:val="21"/>
                <w:highlight w:val="none"/>
                <w:lang w:eastAsia="zh-CN"/>
              </w:rPr>
              <w:t>比选文件</w:t>
            </w:r>
            <w:r>
              <w:rPr>
                <w:rFonts w:hint="eastAsia" w:ascii="宋体" w:hAnsi="宋体" w:cs="宋体"/>
                <w:color w:val="auto"/>
                <w:kern w:val="0"/>
                <w:sz w:val="21"/>
                <w:szCs w:val="21"/>
                <w:highlight w:val="none"/>
              </w:rPr>
              <w:t>要求；</w:t>
            </w:r>
          </w:p>
          <w:p w14:paraId="1FBAB033">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文件的格式、目录等符合</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文件要求。</w:t>
            </w:r>
          </w:p>
        </w:tc>
      </w:tr>
      <w:tr w14:paraId="299B4E30">
        <w:tblPrEx>
          <w:tblCellMar>
            <w:top w:w="0" w:type="dxa"/>
            <w:left w:w="108" w:type="dxa"/>
            <w:bottom w:w="0" w:type="dxa"/>
            <w:right w:w="108" w:type="dxa"/>
          </w:tblCellMar>
        </w:tblPrEx>
        <w:trPr>
          <w:trHeight w:val="60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auto"/>
                <w:kern w:val="0"/>
                <w:sz w:val="21"/>
                <w:szCs w:val="21"/>
                <w:lang w:eastAsia="zh-CN"/>
              </w:rPr>
            </w:pPr>
            <w:r>
              <w:rPr>
                <w:rFonts w:ascii="宋体" w:hAnsi="宋体" w:eastAsia="宋体" w:cs="宋体"/>
                <w:color w:val="auto"/>
                <w:sz w:val="21"/>
              </w:rPr>
              <w:t>只有一个有效报价且不高于最高投标限价</w:t>
            </w:r>
            <w:r>
              <w:rPr>
                <w:rFonts w:hint="eastAsia" w:ascii="宋体" w:hAnsi="宋体" w:cs="宋体"/>
                <w:color w:val="auto"/>
                <w:sz w:val="21"/>
                <w:lang w:eastAsia="zh-CN"/>
              </w:rPr>
              <w:t>，分项报价且</w:t>
            </w:r>
            <w:r>
              <w:rPr>
                <w:rFonts w:ascii="宋体" w:hAnsi="宋体" w:eastAsia="宋体" w:cs="宋体"/>
                <w:color w:val="auto"/>
                <w:sz w:val="21"/>
              </w:rPr>
              <w:t>不高于</w:t>
            </w:r>
            <w:r>
              <w:rPr>
                <w:rFonts w:hint="eastAsia" w:ascii="宋体" w:hAnsi="宋体" w:cs="宋体"/>
                <w:color w:val="auto"/>
                <w:sz w:val="21"/>
                <w:lang w:eastAsia="zh-CN"/>
              </w:rPr>
              <w:t>分项</w:t>
            </w:r>
            <w:r>
              <w:rPr>
                <w:rFonts w:ascii="宋体" w:hAnsi="宋体" w:eastAsia="宋体" w:cs="宋体"/>
                <w:color w:val="auto"/>
                <w:sz w:val="21"/>
              </w:rPr>
              <w:t>最高投标限价。</w:t>
            </w:r>
          </w:p>
        </w:tc>
      </w:tr>
      <w:tr w14:paraId="3980535C">
        <w:tblPrEx>
          <w:tblCellMar>
            <w:top w:w="0" w:type="dxa"/>
            <w:left w:w="108" w:type="dxa"/>
            <w:bottom w:w="0" w:type="dxa"/>
            <w:right w:w="108" w:type="dxa"/>
          </w:tblCellMar>
        </w:tblPrEx>
        <w:trPr>
          <w:trHeight w:val="60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服务范围及内容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374ECF22">
            <w:pPr>
              <w:widowControl/>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服务范围</w:t>
            </w:r>
            <w:r>
              <w:rPr>
                <w:rFonts w:hint="eastAsia" w:ascii="宋体" w:hAnsi="宋体" w:eastAsia="宋体" w:cs="宋体"/>
                <w:color w:val="auto"/>
                <w:kern w:val="0"/>
                <w:sz w:val="21"/>
                <w:szCs w:val="21"/>
                <w:highlight w:val="none"/>
                <w:lang w:val="en-US" w:eastAsia="zh-CN"/>
              </w:rPr>
              <w:t>包括鄂尔多斯市人力资源和社会保障局办公楼相关公共设施维修工程、鄂尔多斯市生态环境局2025年办公大楼维修工程、鄂尔多斯市蒙古族中学供热管道维修工程、鄂尔多斯市职业中等专业学校校园基础设施维修工程、2025年鄂尔多斯市第一中学校园设施维修工程</w:t>
            </w:r>
            <w:r>
              <w:rPr>
                <w:rFonts w:hint="eastAsia" w:ascii="宋体" w:hAnsi="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en-US" w:eastAsia="zh-CN"/>
              </w:rPr>
              <w:t>个项目</w:t>
            </w:r>
            <w:r>
              <w:rPr>
                <w:rFonts w:hint="eastAsia" w:ascii="宋体" w:hAnsi="宋体" w:cs="宋体"/>
                <w:color w:val="auto"/>
                <w:kern w:val="0"/>
                <w:sz w:val="21"/>
                <w:szCs w:val="21"/>
                <w:highlight w:val="none"/>
                <w:lang w:val="en-US" w:eastAsia="zh-CN"/>
              </w:rPr>
              <w:t>的</w:t>
            </w:r>
            <w:r>
              <w:rPr>
                <w:rFonts w:hint="eastAsia" w:ascii="宋体" w:hAnsi="宋体" w:eastAsia="宋体" w:cs="宋体"/>
                <w:color w:val="auto"/>
                <w:kern w:val="0"/>
                <w:sz w:val="21"/>
                <w:szCs w:val="21"/>
                <w:highlight w:val="none"/>
                <w:lang w:val="en-US" w:eastAsia="zh-CN"/>
              </w:rPr>
              <w:t>所有维修内容。</w:t>
            </w:r>
          </w:p>
          <w:p w14:paraId="7DB983B9">
            <w:pPr>
              <w:widowControl/>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highlight w:val="none"/>
                <w:lang w:val="en-US" w:eastAsia="zh-CN"/>
              </w:rPr>
              <w:t>服务内容</w:t>
            </w:r>
            <w:r>
              <w:rPr>
                <w:rFonts w:hint="eastAsia" w:ascii="宋体" w:hAnsi="宋体" w:eastAsia="宋体" w:cs="宋体"/>
                <w:color w:val="auto"/>
                <w:kern w:val="0"/>
                <w:sz w:val="21"/>
                <w:szCs w:val="21"/>
                <w:highlight w:val="none"/>
                <w:lang w:val="en-US" w:eastAsia="zh-CN"/>
              </w:rPr>
              <w:t>为上述</w:t>
            </w:r>
            <w:r>
              <w:rPr>
                <w:rFonts w:hint="eastAsia" w:ascii="宋体" w:hAnsi="宋体" w:cs="宋体"/>
                <w:color w:val="auto"/>
                <w:kern w:val="0"/>
                <w:sz w:val="21"/>
                <w:szCs w:val="21"/>
                <w:highlight w:val="none"/>
                <w:lang w:val="en-US" w:eastAsia="zh-CN"/>
              </w:rPr>
              <w:t>所有</w:t>
            </w:r>
            <w:r>
              <w:rPr>
                <w:rFonts w:hint="eastAsia" w:ascii="宋体" w:hAnsi="宋体" w:eastAsia="宋体" w:cs="宋体"/>
                <w:color w:val="auto"/>
                <w:kern w:val="0"/>
                <w:sz w:val="21"/>
                <w:szCs w:val="21"/>
                <w:highlight w:val="none"/>
                <w:lang w:val="en-US" w:eastAsia="zh-CN"/>
              </w:rPr>
              <w:t>项目维修全过程中的全部监理内容，包括服务项目的施工及保修阶段的质量、进度、安全监督管理、工程变更及工程进度款的审核、农民工工资支付发放审核、竣工验收资料备案及归档的审核、质保期内参与回访、合同及信息等方面的协调管理、文明施工等工作。</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监理服务期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598107CD">
            <w:pPr>
              <w:widowControl/>
              <w:rPr>
                <w:rFonts w:hint="eastAsia" w:ascii="宋体" w:hAnsi="宋体" w:cs="宋体"/>
                <w:color w:val="auto"/>
                <w:kern w:val="0"/>
                <w:sz w:val="21"/>
                <w:szCs w:val="21"/>
                <w:lang w:val="en-US" w:eastAsia="zh-CN"/>
              </w:rPr>
            </w:pPr>
            <w:r>
              <w:rPr>
                <w:rFonts w:hint="eastAsia" w:ascii="宋体" w:hAnsi="宋体" w:eastAsia="宋体" w:cs="宋体"/>
                <w:color w:val="auto"/>
                <w:kern w:val="0"/>
                <w:sz w:val="21"/>
                <w:szCs w:val="21"/>
                <w:highlight w:val="none"/>
                <w:lang w:val="en-US" w:eastAsia="zh-CN"/>
              </w:rPr>
              <w:t>监理合同签订</w:t>
            </w:r>
            <w:r>
              <w:rPr>
                <w:rFonts w:hint="default" w:ascii="宋体" w:hAnsi="宋体" w:eastAsia="宋体" w:cs="宋体"/>
                <w:color w:val="auto"/>
                <w:kern w:val="0"/>
                <w:sz w:val="21"/>
                <w:szCs w:val="21"/>
                <w:highlight w:val="none"/>
                <w:lang w:val="en-US" w:eastAsia="zh-CN"/>
              </w:rPr>
              <w:t>之日起至</w:t>
            </w:r>
            <w:r>
              <w:rPr>
                <w:rFonts w:hint="eastAsia" w:ascii="宋体" w:hAnsi="宋体" w:eastAsia="宋体" w:cs="宋体"/>
                <w:color w:val="auto"/>
                <w:kern w:val="0"/>
                <w:sz w:val="21"/>
                <w:szCs w:val="21"/>
                <w:highlight w:val="none"/>
                <w:lang w:val="en-US" w:eastAsia="zh-CN"/>
              </w:rPr>
              <w:t>工程项目</w:t>
            </w:r>
            <w:r>
              <w:rPr>
                <w:rFonts w:hint="default" w:ascii="宋体" w:hAnsi="宋体" w:eastAsia="宋体" w:cs="宋体"/>
                <w:color w:val="auto"/>
                <w:kern w:val="0"/>
                <w:sz w:val="21"/>
                <w:szCs w:val="21"/>
                <w:highlight w:val="none"/>
                <w:lang w:val="en-US" w:eastAsia="zh-CN"/>
              </w:rPr>
              <w:t>缺陷责任期满</w:t>
            </w:r>
            <w:r>
              <w:rPr>
                <w:rFonts w:hint="eastAsia" w:ascii="宋体" w:hAnsi="宋体" w:eastAsia="宋体" w:cs="宋体"/>
                <w:color w:val="auto"/>
                <w:kern w:val="0"/>
                <w:sz w:val="21"/>
                <w:szCs w:val="21"/>
                <w:highlight w:val="none"/>
                <w:lang w:val="en-US" w:eastAsia="zh-CN"/>
              </w:rPr>
              <w:t>止。</w:t>
            </w:r>
          </w:p>
        </w:tc>
      </w:tr>
      <w:tr w14:paraId="1FED1172">
        <w:tblPrEx>
          <w:tblCellMar>
            <w:top w:w="0" w:type="dxa"/>
            <w:left w:w="108" w:type="dxa"/>
            <w:bottom w:w="0" w:type="dxa"/>
            <w:right w:w="108" w:type="dxa"/>
          </w:tblCellMar>
        </w:tblPrEx>
        <w:trPr>
          <w:trHeight w:val="127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1A1B0BFF">
            <w:pPr>
              <w:widowControl/>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依据监理职责做好三控三管一协调，熟悉所监理项目的合同条款、规范、设计图纸，按设计图纸及有关标准对施工工艺及工序进行检查和记录，对工程关键部位、关键工序进行旁站监督，保证现场施工安全，做好监理日志和有关的监理记录，组织监理例会做好甲乙方之间涉及施工合同的联系活动。</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auto"/>
                <w:kern w:val="0"/>
                <w:sz w:val="21"/>
                <w:szCs w:val="21"/>
              </w:rPr>
            </w:pPr>
            <w:r>
              <w:rPr>
                <w:rFonts w:hint="eastAsia" w:ascii="宋体" w:hAnsi="宋体" w:cs="宋体"/>
                <w:color w:val="auto"/>
                <w:kern w:val="0"/>
                <w:sz w:val="21"/>
                <w:szCs w:val="21"/>
              </w:rPr>
              <w:t>符合</w:t>
            </w:r>
            <w:r>
              <w:rPr>
                <w:rFonts w:hint="eastAsia" w:ascii="宋体" w:hAnsi="宋体" w:cs="宋体"/>
                <w:color w:val="auto"/>
                <w:kern w:val="0"/>
                <w:sz w:val="21"/>
                <w:szCs w:val="21"/>
                <w:lang w:eastAsia="zh-CN"/>
              </w:rPr>
              <w:t>比选公告其他</w:t>
            </w:r>
            <w:r>
              <w:rPr>
                <w:rFonts w:hint="eastAsia" w:ascii="宋体" w:hAnsi="宋体" w:cs="宋体"/>
                <w:color w:val="auto"/>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auto"/>
                <w:kern w:val="0"/>
                <w:sz w:val="21"/>
                <w:szCs w:val="21"/>
                <w:lang w:eastAsia="zh-CN"/>
              </w:rPr>
            </w:pPr>
            <w:r>
              <w:rPr>
                <w:rFonts w:hint="eastAsia" w:ascii="宋体" w:hAnsi="宋体" w:cs="宋体"/>
                <w:b/>
                <w:bCs/>
                <w:color w:val="auto"/>
                <w:kern w:val="0"/>
                <w:sz w:val="21"/>
                <w:szCs w:val="21"/>
              </w:rPr>
              <w:t>备注：</w:t>
            </w:r>
            <w:r>
              <w:rPr>
                <w:rFonts w:hint="eastAsia" w:ascii="宋体" w:hAnsi="宋体" w:cs="宋体"/>
                <w:b/>
                <w:bCs/>
                <w:color w:val="auto"/>
                <w:kern w:val="0"/>
                <w:sz w:val="21"/>
                <w:szCs w:val="21"/>
                <w:lang w:eastAsia="zh-CN"/>
              </w:rPr>
              <w:t>资格性、</w:t>
            </w:r>
            <w:r>
              <w:rPr>
                <w:rFonts w:hint="eastAsia" w:ascii="宋体" w:hAnsi="宋体" w:cs="宋体"/>
                <w:b/>
                <w:bCs/>
                <w:color w:val="auto"/>
                <w:kern w:val="0"/>
                <w:sz w:val="21"/>
                <w:szCs w:val="21"/>
              </w:rPr>
              <w:t>符合性审查中有任意一项未通过的，评审结果为</w:t>
            </w:r>
            <w:r>
              <w:rPr>
                <w:rFonts w:hint="eastAsia" w:ascii="宋体" w:hAnsi="宋体" w:cs="宋体"/>
                <w:b/>
                <w:bCs/>
                <w:color w:val="auto"/>
                <w:kern w:val="0"/>
                <w:sz w:val="21"/>
                <w:szCs w:val="21"/>
                <w:lang w:eastAsia="zh-CN"/>
              </w:rPr>
              <w:t>不合格。</w:t>
            </w:r>
          </w:p>
        </w:tc>
      </w:tr>
    </w:tbl>
    <w:p w14:paraId="2EBB0D37">
      <w:pPr>
        <w:rPr>
          <w:rFonts w:hint="eastAsia"/>
        </w:rPr>
      </w:pPr>
      <w:r>
        <w:rPr>
          <w:rFonts w:hint="eastAsia"/>
        </w:rPr>
        <w:br w:type="page"/>
      </w:r>
    </w:p>
    <w:p w14:paraId="523518C6">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p w14:paraId="539F501F">
      <w:pPr>
        <w:rPr>
          <w:rFonts w:hint="eastAsia"/>
          <w:b/>
          <w:bCs/>
          <w:sz w:val="20"/>
          <w:szCs w:val="20"/>
          <w:lang w:val="en-US" w:eastAsia="zh-CN"/>
        </w:rPr>
      </w:pPr>
    </w:p>
    <w:tbl>
      <w:tblPr>
        <w:tblStyle w:val="1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548"/>
        <w:gridCol w:w="606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67" w:type="dxa"/>
            <w:gridSpan w:val="2"/>
            <w:vAlign w:val="center"/>
          </w:tcPr>
          <w:p w14:paraId="163726D4">
            <w:pPr>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评审因素</w:t>
            </w:r>
          </w:p>
        </w:tc>
        <w:tc>
          <w:tcPr>
            <w:tcW w:w="6061" w:type="dxa"/>
            <w:vAlign w:val="center"/>
          </w:tcPr>
          <w:p w14:paraId="5D908301">
            <w:pP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567" w:type="dxa"/>
            <w:gridSpan w:val="2"/>
            <w:vAlign w:val="center"/>
          </w:tcPr>
          <w:p w14:paraId="304B1E58">
            <w:pPr>
              <w:widowControl/>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分值构成</w:t>
            </w:r>
          </w:p>
        </w:tc>
        <w:tc>
          <w:tcPr>
            <w:tcW w:w="6061" w:type="dxa"/>
            <w:vAlign w:val="center"/>
          </w:tcPr>
          <w:p w14:paraId="4C645BE7">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1.服务方案60分</w:t>
            </w:r>
          </w:p>
          <w:p w14:paraId="663E077B">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2.商务部分10分</w:t>
            </w:r>
          </w:p>
          <w:p w14:paraId="52976D49">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19" w:type="dxa"/>
            <w:vMerge w:val="restart"/>
            <w:vAlign w:val="center"/>
          </w:tcPr>
          <w:p w14:paraId="2CC2F958">
            <w:pPr>
              <w:widowControl/>
              <w:jc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监理大纲（60分）</w:t>
            </w:r>
          </w:p>
        </w:tc>
        <w:tc>
          <w:tcPr>
            <w:tcW w:w="2548" w:type="dxa"/>
            <w:vAlign w:val="center"/>
          </w:tcPr>
          <w:p w14:paraId="0CEA3067">
            <w:pPr>
              <w:pStyle w:val="33"/>
              <w:keepNext w:val="0"/>
              <w:keepLines w:val="0"/>
              <w:pageBreakBefore w:val="0"/>
              <w:kinsoku/>
              <w:wordWrap/>
              <w:overflowPunct/>
              <w:topLinePunct w:val="0"/>
              <w:autoSpaceDE/>
              <w:autoSpaceDN/>
              <w:bidi w:val="0"/>
              <w:snapToGrid/>
              <w:spacing w:line="300" w:lineRule="exact"/>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质量控制措施（12.0分）</w:t>
            </w:r>
          </w:p>
        </w:tc>
        <w:tc>
          <w:tcPr>
            <w:tcW w:w="6061" w:type="dxa"/>
            <w:vAlign w:val="center"/>
          </w:tcPr>
          <w:p w14:paraId="0F75F31A">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0"/>
                <w:szCs w:val="20"/>
                <w:lang w:val="en-US" w:eastAsia="zh-CN"/>
              </w:rPr>
              <w:t>根据质量控制措施（如质量目标与标准、质量控制流程、关键节点把控、质量验收计划等）是否得力，全面、有针对性综合评分。</w:t>
            </w:r>
            <w:r>
              <w:rPr>
                <w:rFonts w:hint="eastAsia" w:ascii="宋体" w:hAnsi="宋体" w:eastAsia="Times New Roman" w:cs="宋体"/>
                <w:color w:val="auto"/>
                <w:kern w:val="0"/>
                <w:sz w:val="20"/>
                <w:szCs w:val="20"/>
                <w:lang w:val="en-US" w:eastAsia="zh-CN" w:bidi="ar-SA"/>
              </w:rPr>
              <w:t>控制措施得力、全面、有针对性的，得10-12分；控制措施比较得力、比较全面、比较有针对性的，得6-9分；控制措施不太得力、不太全面、针对性不强的，得1-5分；控制措施差或无得的0分。</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19" w:type="dxa"/>
            <w:vMerge w:val="continue"/>
            <w:vAlign w:val="center"/>
          </w:tcPr>
          <w:p w14:paraId="4E02D41F">
            <w:pPr>
              <w:widowControl/>
              <w:rPr>
                <w:rFonts w:hint="eastAsia" w:ascii="宋体" w:hAnsi="宋体" w:cs="宋体"/>
                <w:b/>
                <w:bCs/>
                <w:color w:val="auto"/>
                <w:kern w:val="0"/>
                <w:sz w:val="21"/>
                <w:szCs w:val="21"/>
                <w:highlight w:val="none"/>
                <w:lang w:val="en-US" w:eastAsia="zh-CN"/>
              </w:rPr>
            </w:pPr>
          </w:p>
        </w:tc>
        <w:tc>
          <w:tcPr>
            <w:tcW w:w="2548" w:type="dxa"/>
            <w:vAlign w:val="center"/>
          </w:tcPr>
          <w:p w14:paraId="428B176E">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进度控制措施（10.0分）</w:t>
            </w:r>
          </w:p>
        </w:tc>
        <w:tc>
          <w:tcPr>
            <w:tcW w:w="6061" w:type="dxa"/>
            <w:vAlign w:val="center"/>
          </w:tcPr>
          <w:p w14:paraId="0F41F1E4">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进度控制措施（如进度计划、动态调整机制、风险应对方案等）是否合理有效、全面、有针对性综合评分。控制措施合理有效、全面、有针对性的，得8-10分；控制措施比较合理有效、比较全面、比较有针对性的，得4-7分；控制措施不太合理有效、不太全面、针对性不强的，得1-3分；控制措施差或无的，得0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19" w:type="dxa"/>
            <w:vMerge w:val="continue"/>
            <w:vAlign w:val="center"/>
          </w:tcPr>
          <w:p w14:paraId="4B888B15">
            <w:pPr>
              <w:widowControl/>
              <w:rPr>
                <w:rFonts w:hint="eastAsia" w:ascii="宋体" w:hAnsi="宋体" w:cs="宋体"/>
                <w:b/>
                <w:bCs/>
                <w:color w:val="auto"/>
                <w:kern w:val="0"/>
                <w:sz w:val="21"/>
                <w:szCs w:val="21"/>
                <w:highlight w:val="none"/>
                <w:lang w:val="en-US" w:eastAsia="zh-CN"/>
              </w:rPr>
            </w:pPr>
          </w:p>
        </w:tc>
        <w:tc>
          <w:tcPr>
            <w:tcW w:w="2548" w:type="dxa"/>
            <w:vAlign w:val="center"/>
          </w:tcPr>
          <w:p w14:paraId="15C734F6">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造价控制措施（10.0分）</w:t>
            </w:r>
          </w:p>
        </w:tc>
        <w:tc>
          <w:tcPr>
            <w:tcW w:w="6061" w:type="dxa"/>
            <w:vAlign w:val="center"/>
          </w:tcPr>
          <w:p w14:paraId="1D0EB072">
            <w:pPr>
              <w:widowControl/>
              <w:jc w:val="left"/>
              <w:rPr>
                <w:rFonts w:hint="default"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造价控制措施（如成本监控方法，变更签证管理预算审核机制等）是否得力、全面、有针对性综合评分。控制措施得力、全面、有针对性的，得8-10分；控制措施比较得力、比较全面、比较有针对性的，得4-7分；控制措施不太得力、不太全面、针对性不强的，得1-3分；控制措施差或无的，得0分。</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9" w:type="dxa"/>
            <w:vMerge w:val="continue"/>
            <w:vAlign w:val="center"/>
          </w:tcPr>
          <w:p w14:paraId="2BA1C317">
            <w:pPr>
              <w:widowControl/>
              <w:rPr>
                <w:rFonts w:hint="eastAsia" w:ascii="宋体" w:hAnsi="宋体" w:cs="宋体"/>
                <w:b/>
                <w:bCs/>
                <w:color w:val="auto"/>
                <w:kern w:val="0"/>
                <w:sz w:val="21"/>
                <w:szCs w:val="21"/>
                <w:highlight w:val="none"/>
                <w:lang w:val="en-US" w:eastAsia="zh-CN"/>
              </w:rPr>
            </w:pPr>
          </w:p>
        </w:tc>
        <w:tc>
          <w:tcPr>
            <w:tcW w:w="2548" w:type="dxa"/>
            <w:vAlign w:val="center"/>
          </w:tcPr>
          <w:p w14:paraId="1FBF293B">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环境保护控制措施    （6.0分）</w:t>
            </w:r>
          </w:p>
        </w:tc>
        <w:tc>
          <w:tcPr>
            <w:tcW w:w="6061" w:type="dxa"/>
            <w:vAlign w:val="center"/>
          </w:tcPr>
          <w:p w14:paraId="26EE141F">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环境保护控制措施（如降尘、降噪、垃圾清运等）是否得力、全面、有针对性综合评分，控制措施得力、全面、有针对性的，得5-6分；控制措施比较得力、比较全面、比较有针对性的，得3-4分；控制措施不太得力、不太全面、针对性不强的，得1-2分；控制措施差或无的，得0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9" w:type="dxa"/>
            <w:vMerge w:val="continue"/>
            <w:vAlign w:val="center"/>
          </w:tcPr>
          <w:p w14:paraId="00090D99">
            <w:pPr>
              <w:widowControl/>
              <w:ind w:leftChars="0"/>
              <w:rPr>
                <w:color w:val="auto"/>
              </w:rPr>
            </w:pPr>
          </w:p>
        </w:tc>
        <w:tc>
          <w:tcPr>
            <w:tcW w:w="2548" w:type="dxa"/>
            <w:vAlign w:val="center"/>
          </w:tcPr>
          <w:p w14:paraId="23C97C17">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安全生产管理措施    （8.0分）</w:t>
            </w:r>
          </w:p>
        </w:tc>
        <w:tc>
          <w:tcPr>
            <w:tcW w:w="6061" w:type="dxa"/>
            <w:vAlign w:val="center"/>
          </w:tcPr>
          <w:p w14:paraId="090E69CE">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安全管理措施（结合现场实际情况编制安全风险清单、应急预案、安全培训等）是否得力，全面、有针对性综合评分。控制措施得力、全面、有针对性的，得6-8分；控制措施比较得力、比较全面、比较有针对性的，得3-5分；控制措施不太得力、不太全面、针对性不强的，得1-2分；控制措施差或无的，得0分。</w:t>
            </w:r>
          </w:p>
        </w:tc>
      </w:tr>
      <w:tr w14:paraId="3FF7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9" w:type="dxa"/>
            <w:vMerge w:val="continue"/>
            <w:vAlign w:val="center"/>
          </w:tcPr>
          <w:p w14:paraId="3F8A349D">
            <w:pPr>
              <w:widowControl/>
              <w:rPr>
                <w:rFonts w:hint="eastAsia" w:ascii="宋体" w:hAnsi="宋体" w:cs="宋体"/>
                <w:color w:val="auto"/>
                <w:kern w:val="0"/>
                <w:sz w:val="21"/>
                <w:szCs w:val="21"/>
                <w:highlight w:val="none"/>
                <w:lang w:val="en-US" w:eastAsia="zh-CN"/>
              </w:rPr>
            </w:pPr>
          </w:p>
        </w:tc>
        <w:tc>
          <w:tcPr>
            <w:tcW w:w="2548" w:type="dxa"/>
            <w:vAlign w:val="center"/>
          </w:tcPr>
          <w:p w14:paraId="79C5C045">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文明施工管理措施     （4.0分）</w:t>
            </w:r>
          </w:p>
        </w:tc>
        <w:tc>
          <w:tcPr>
            <w:tcW w:w="6061" w:type="dxa"/>
            <w:vAlign w:val="center"/>
          </w:tcPr>
          <w:p w14:paraId="5FFB7CB7">
            <w:pPr>
              <w:widowControl/>
              <w:jc w:val="left"/>
              <w:rPr>
                <w:rFonts w:hint="default"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文明施工管理措施（如现场管理规范、扰民防控、卫生与环境维护等）是否根据项目特点编制。措施合理、全面、有针对性的，得3-4分；措施比较合理、全面，相对有针对性的，得1-2分；措施差或无的，得0分。</w:t>
            </w:r>
          </w:p>
        </w:tc>
      </w:tr>
      <w:tr w14:paraId="0EA2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19" w:type="dxa"/>
            <w:vMerge w:val="continue"/>
            <w:vAlign w:val="center"/>
          </w:tcPr>
          <w:p w14:paraId="2718BBDE">
            <w:pPr>
              <w:widowControl/>
              <w:ind w:leftChars="0"/>
              <w:rPr>
                <w:color w:val="auto"/>
              </w:rPr>
            </w:pPr>
          </w:p>
        </w:tc>
        <w:tc>
          <w:tcPr>
            <w:tcW w:w="2548" w:type="dxa"/>
            <w:vAlign w:val="center"/>
          </w:tcPr>
          <w:p w14:paraId="0AACBCF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合同、信息管理（6.0分）</w:t>
            </w:r>
          </w:p>
        </w:tc>
        <w:tc>
          <w:tcPr>
            <w:tcW w:w="6061" w:type="dxa"/>
            <w:vAlign w:val="center"/>
          </w:tcPr>
          <w:p w14:paraId="208233F9">
            <w:pPr>
              <w:adjustRightInd w:val="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合同、信息管理内容（如合同履约监管、档案管理流程、信息化工具应用等）是否明确、管理措施是否得当综合评分。内容明确，措施合理的，得5-6分；内容比较明确，措施相对合理的，得3-4分；内容不太明确，措施不太合理的，得1-2分；差或无相关内容的，不得分。</w:t>
            </w:r>
          </w:p>
        </w:tc>
      </w:tr>
      <w:tr w14:paraId="6FC0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19" w:type="dxa"/>
            <w:vMerge w:val="continue"/>
            <w:vAlign w:val="center"/>
          </w:tcPr>
          <w:p w14:paraId="3566B4B4">
            <w:pPr>
              <w:widowControl/>
              <w:ind w:leftChars="0"/>
              <w:rPr>
                <w:color w:val="auto"/>
              </w:rPr>
            </w:pPr>
          </w:p>
        </w:tc>
        <w:tc>
          <w:tcPr>
            <w:tcW w:w="2548" w:type="dxa"/>
            <w:vAlign w:val="center"/>
          </w:tcPr>
          <w:p w14:paraId="00702482">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组织协调内容及措施  （4.0分）</w:t>
            </w:r>
          </w:p>
        </w:tc>
        <w:tc>
          <w:tcPr>
            <w:tcW w:w="6061" w:type="dxa"/>
            <w:vAlign w:val="center"/>
          </w:tcPr>
          <w:p w14:paraId="40D20A36">
            <w:pPr>
              <w:adjustRightInd w:val="0"/>
              <w:jc w:val="left"/>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Times New Roman" w:cs="宋体"/>
                <w:color w:val="auto"/>
                <w:kern w:val="0"/>
                <w:sz w:val="20"/>
                <w:szCs w:val="20"/>
                <w:lang w:val="en-US" w:eastAsia="zh-CN" w:bidi="ar-SA"/>
              </w:rPr>
              <w:t>根据组织协调内容（如沟通机制、多方协作方案、争议处理预案等）及措施是否明确、全面、有效综合评分。内容及措施明确、全面、有效的，得3-4分；内容及措施一般的，得1-2分；差或无相关内容的，得0分。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restart"/>
            <w:vAlign w:val="center"/>
          </w:tcPr>
          <w:p w14:paraId="12DC9B8E">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商</w:t>
            </w:r>
            <w:r>
              <w:rPr>
                <w:rFonts w:hint="eastAsia" w:ascii="宋体" w:hAnsi="宋体" w:cs="宋体"/>
                <w:b/>
                <w:bCs/>
                <w:color w:val="auto"/>
                <w:kern w:val="0"/>
                <w:sz w:val="21"/>
                <w:szCs w:val="21"/>
                <w:highlight w:val="none"/>
                <w:lang w:val="en-US" w:eastAsia="zh-CN"/>
              </w:rPr>
              <w:t xml:space="preserve"> </w:t>
            </w:r>
            <w:r>
              <w:rPr>
                <w:rFonts w:hint="eastAsia" w:ascii="宋体" w:hAnsi="宋体" w:cs="宋体"/>
                <w:b/>
                <w:bCs/>
                <w:color w:val="auto"/>
                <w:kern w:val="0"/>
                <w:sz w:val="21"/>
                <w:szCs w:val="21"/>
                <w:highlight w:val="none"/>
              </w:rPr>
              <w:t>务</w:t>
            </w:r>
          </w:p>
          <w:p w14:paraId="14B707E9">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部</w:t>
            </w:r>
            <w:r>
              <w:rPr>
                <w:rFonts w:hint="eastAsia" w:ascii="宋体" w:hAnsi="宋体" w:cs="宋体"/>
                <w:b/>
                <w:bCs/>
                <w:color w:val="auto"/>
                <w:kern w:val="0"/>
                <w:sz w:val="21"/>
                <w:szCs w:val="21"/>
                <w:highlight w:val="none"/>
                <w:lang w:val="en-US" w:eastAsia="zh-CN"/>
              </w:rPr>
              <w:t xml:space="preserve"> </w:t>
            </w:r>
            <w:r>
              <w:rPr>
                <w:rFonts w:hint="eastAsia" w:ascii="宋体" w:hAnsi="宋体" w:cs="宋体"/>
                <w:b/>
                <w:bCs/>
                <w:color w:val="auto"/>
                <w:kern w:val="0"/>
                <w:sz w:val="21"/>
                <w:szCs w:val="21"/>
                <w:highlight w:val="none"/>
              </w:rPr>
              <w:t>分</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10分</w:t>
            </w:r>
            <w:r>
              <w:rPr>
                <w:rFonts w:hint="eastAsia" w:ascii="宋体" w:hAnsi="宋体" w:cs="宋体"/>
                <w:b/>
                <w:bCs/>
                <w:color w:val="auto"/>
                <w:kern w:val="0"/>
                <w:sz w:val="21"/>
                <w:szCs w:val="21"/>
                <w:highlight w:val="none"/>
                <w:lang w:eastAsia="zh-CN"/>
              </w:rPr>
              <w:t>）</w:t>
            </w:r>
          </w:p>
        </w:tc>
        <w:tc>
          <w:tcPr>
            <w:tcW w:w="2548" w:type="dxa"/>
            <w:vAlign w:val="center"/>
          </w:tcPr>
          <w:p w14:paraId="5C6B5D81">
            <w:pPr>
              <w:pStyle w:val="33"/>
              <w:keepNext w:val="0"/>
              <w:keepLines w:val="0"/>
              <w:pageBreakBefore w:val="0"/>
              <w:kinsoku/>
              <w:wordWrap/>
              <w:overflowPunct/>
              <w:topLinePunct w:val="0"/>
              <w:autoSpaceDE/>
              <w:autoSpaceDN/>
              <w:bidi w:val="0"/>
              <w:snapToGrid/>
              <w:spacing w:line="300" w:lineRule="exact"/>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总监理工程师任职资格（</w:t>
            </w:r>
            <w:r>
              <w:rPr>
                <w:rFonts w:hint="eastAsia" w:ascii="宋体" w:hAnsi="宋体" w:cs="宋体"/>
                <w:b/>
                <w:bCs/>
                <w:color w:val="auto"/>
                <w:kern w:val="0"/>
                <w:sz w:val="21"/>
                <w:szCs w:val="21"/>
                <w:highlight w:val="none"/>
                <w:lang w:val="en-US" w:eastAsia="zh-CN" w:bidi="ar-SA"/>
              </w:rPr>
              <w:t>2</w:t>
            </w:r>
            <w:r>
              <w:rPr>
                <w:rFonts w:hint="eastAsia" w:ascii="宋体" w:hAnsi="宋体" w:eastAsia="宋体" w:cs="宋体"/>
                <w:b/>
                <w:bCs/>
                <w:color w:val="auto"/>
                <w:kern w:val="0"/>
                <w:sz w:val="21"/>
                <w:szCs w:val="21"/>
                <w:highlight w:val="none"/>
                <w:lang w:val="en-US" w:eastAsia="zh-CN" w:bidi="ar-SA"/>
              </w:rPr>
              <w:t>.0分）</w:t>
            </w:r>
          </w:p>
        </w:tc>
        <w:tc>
          <w:tcPr>
            <w:tcW w:w="6061" w:type="dxa"/>
            <w:vAlign w:val="center"/>
          </w:tcPr>
          <w:p w14:paraId="37D0C3F4">
            <w:pPr>
              <w:pStyle w:val="33"/>
              <w:keepNext w:val="0"/>
              <w:keepLines w:val="0"/>
              <w:pageBreakBefore w:val="0"/>
              <w:kinsoku/>
              <w:wordWrap/>
              <w:overflowPunct/>
              <w:topLinePunct w:val="0"/>
              <w:autoSpaceDE/>
              <w:autoSpaceDN/>
              <w:bidi w:val="0"/>
              <w:snapToGrid/>
              <w:spacing w:line="30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具有副高级(含)以上技术职称</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得</w:t>
            </w:r>
            <w:r>
              <w:rPr>
                <w:rFonts w:hint="eastAsia" w:ascii="宋体" w:hAnsi="宋体"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分（投标文件需附职称证</w:t>
            </w:r>
            <w:r>
              <w:rPr>
                <w:rFonts w:hint="eastAsia" w:ascii="宋体" w:hAnsi="宋体" w:cs="宋体"/>
                <w:color w:val="auto"/>
                <w:kern w:val="0"/>
                <w:sz w:val="21"/>
                <w:szCs w:val="21"/>
                <w:highlight w:val="none"/>
                <w:lang w:val="en-US" w:eastAsia="zh-CN" w:bidi="ar-SA"/>
              </w:rPr>
              <w:t>书</w:t>
            </w:r>
            <w:r>
              <w:rPr>
                <w:rFonts w:hint="eastAsia" w:ascii="宋体" w:hAnsi="宋体" w:eastAsia="宋体" w:cs="宋体"/>
                <w:color w:val="auto"/>
                <w:kern w:val="0"/>
                <w:sz w:val="21"/>
                <w:szCs w:val="21"/>
                <w:highlight w:val="none"/>
                <w:lang w:val="en-US" w:eastAsia="zh-CN" w:bidi="ar-SA"/>
              </w:rPr>
              <w:t>扫描件）。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518A9269">
            <w:pPr>
              <w:widowControl/>
              <w:jc w:val="center"/>
              <w:rPr>
                <w:rFonts w:hint="eastAsia" w:ascii="宋体" w:hAnsi="宋体" w:cs="宋体"/>
                <w:b/>
                <w:bCs/>
                <w:color w:val="auto"/>
                <w:kern w:val="0"/>
                <w:sz w:val="21"/>
                <w:szCs w:val="21"/>
                <w:highlight w:val="none"/>
              </w:rPr>
            </w:pPr>
          </w:p>
        </w:tc>
        <w:tc>
          <w:tcPr>
            <w:tcW w:w="2548" w:type="dxa"/>
            <w:vAlign w:val="center"/>
          </w:tcPr>
          <w:p w14:paraId="6D51AF31">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专业监理工程师任职资格</w:t>
            </w:r>
          </w:p>
          <w:p w14:paraId="7945A312">
            <w:pPr>
              <w:widowControl/>
              <w:jc w:val="center"/>
              <w:rPr>
                <w:rFonts w:hint="default"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（4.0分）</w:t>
            </w:r>
          </w:p>
        </w:tc>
        <w:tc>
          <w:tcPr>
            <w:tcW w:w="6061" w:type="dxa"/>
            <w:vAlign w:val="center"/>
          </w:tcPr>
          <w:p w14:paraId="73DC7903">
            <w:pPr>
              <w:widowControl/>
              <w:numPr>
                <w:ilvl w:val="0"/>
                <w:numId w:val="0"/>
              </w:numPr>
              <w:ind w:left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拟派</w:t>
            </w:r>
            <w:r>
              <w:rPr>
                <w:rFonts w:hint="eastAsia" w:ascii="宋体" w:hAnsi="宋体" w:eastAsia="宋体" w:cs="宋体"/>
                <w:color w:val="auto"/>
                <w:kern w:val="0"/>
                <w:sz w:val="21"/>
                <w:szCs w:val="21"/>
                <w:highlight w:val="none"/>
                <w:lang w:val="en-US" w:eastAsia="zh-CN" w:bidi="ar-SA"/>
              </w:rPr>
              <w:t>专业监理工程师</w:t>
            </w:r>
            <w:r>
              <w:rPr>
                <w:rFonts w:hint="eastAsia" w:ascii="宋体" w:hAnsi="宋体" w:cs="宋体"/>
                <w:color w:val="auto"/>
                <w:kern w:val="0"/>
                <w:sz w:val="21"/>
                <w:szCs w:val="21"/>
                <w:highlight w:val="none"/>
                <w:lang w:val="en-US" w:eastAsia="zh-CN" w:bidi="ar-SA"/>
              </w:rPr>
              <w:t>中</w:t>
            </w:r>
            <w:r>
              <w:rPr>
                <w:rFonts w:hint="eastAsia" w:ascii="宋体" w:hAnsi="宋体" w:eastAsia="宋体" w:cs="宋体"/>
                <w:color w:val="auto"/>
                <w:kern w:val="0"/>
                <w:sz w:val="21"/>
                <w:szCs w:val="21"/>
                <w:highlight w:val="none"/>
                <w:lang w:val="en-US" w:eastAsia="zh-CN" w:bidi="ar-SA"/>
              </w:rPr>
              <w:t>每有1个副高级(含)以上技术职称</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得2</w:t>
            </w:r>
            <w:r>
              <w:rPr>
                <w:rFonts w:hint="eastAsia" w:ascii="宋体" w:hAnsi="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分，每有一个中级技术职称</w:t>
            </w:r>
            <w:r>
              <w:rPr>
                <w:rFonts w:hint="eastAsia" w:ascii="宋体" w:hAnsi="宋体" w:cs="宋体"/>
                <w:color w:val="auto"/>
                <w:kern w:val="0"/>
                <w:sz w:val="21"/>
                <w:szCs w:val="21"/>
                <w:highlight w:val="none"/>
                <w:lang w:val="en-US" w:eastAsia="zh-CN" w:bidi="ar-SA"/>
              </w:rPr>
              <w:t>的，</w:t>
            </w:r>
            <w:r>
              <w:rPr>
                <w:rFonts w:hint="eastAsia" w:ascii="宋体" w:hAnsi="宋体" w:eastAsia="宋体" w:cs="宋体"/>
                <w:color w:val="auto"/>
                <w:kern w:val="0"/>
                <w:sz w:val="21"/>
                <w:szCs w:val="21"/>
                <w:highlight w:val="none"/>
                <w:lang w:val="en-US" w:eastAsia="zh-CN" w:bidi="ar-SA"/>
              </w:rPr>
              <w:t>得1</w:t>
            </w:r>
            <w:r>
              <w:rPr>
                <w:rFonts w:hint="eastAsia" w:ascii="宋体" w:hAnsi="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w:t>
            </w:r>
            <w:r>
              <w:rPr>
                <w:rFonts w:hint="eastAsia" w:ascii="宋体" w:hAnsi="宋体" w:cs="宋体"/>
                <w:color w:val="auto"/>
                <w:kern w:val="0"/>
                <w:sz w:val="21"/>
                <w:szCs w:val="21"/>
                <w:highlight w:val="none"/>
                <w:lang w:val="en-US" w:eastAsia="zh-CN" w:bidi="ar-SA"/>
              </w:rPr>
              <w:t>本项最高得4.0分</w:t>
            </w:r>
            <w:r>
              <w:rPr>
                <w:rFonts w:hint="eastAsia" w:ascii="宋体" w:hAnsi="宋体" w:eastAsia="宋体" w:cs="宋体"/>
                <w:color w:val="auto"/>
                <w:kern w:val="0"/>
                <w:sz w:val="21"/>
                <w:szCs w:val="21"/>
                <w:highlight w:val="none"/>
                <w:lang w:val="en-US" w:eastAsia="zh-CN" w:bidi="ar-SA"/>
              </w:rPr>
              <w:t>。（投标文件需附职称证复印件）</w:t>
            </w:r>
          </w:p>
        </w:tc>
      </w:tr>
      <w:tr w14:paraId="66DD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9" w:type="dxa"/>
            <w:vMerge w:val="continue"/>
            <w:vAlign w:val="center"/>
          </w:tcPr>
          <w:p w14:paraId="03A79957">
            <w:pPr>
              <w:widowControl/>
              <w:jc w:val="center"/>
              <w:rPr>
                <w:rFonts w:hint="eastAsia" w:ascii="宋体" w:hAnsi="宋体" w:cs="宋体"/>
                <w:b/>
                <w:bCs/>
                <w:color w:val="auto"/>
                <w:kern w:val="0"/>
                <w:sz w:val="21"/>
                <w:szCs w:val="21"/>
                <w:highlight w:val="none"/>
              </w:rPr>
            </w:pPr>
          </w:p>
        </w:tc>
        <w:tc>
          <w:tcPr>
            <w:tcW w:w="2548" w:type="dxa"/>
            <w:vAlign w:val="center"/>
          </w:tcPr>
          <w:p w14:paraId="6FD88A1C">
            <w:pPr>
              <w:widowControl/>
              <w:jc w:val="center"/>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人员配备（2.0分）</w:t>
            </w:r>
          </w:p>
        </w:tc>
        <w:tc>
          <w:tcPr>
            <w:tcW w:w="6061" w:type="dxa"/>
            <w:vAlign w:val="center"/>
          </w:tcPr>
          <w:p w14:paraId="682D042F">
            <w:pPr>
              <w:widowControl/>
              <w:numPr>
                <w:ilvl w:val="0"/>
                <w:numId w:val="0"/>
              </w:numPr>
              <w:ind w:leftChars="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满足初步评审的基础上，每多配备一名房屋建筑或建筑工程相关专业监理工程师的，得1.0分，最高得2.0分。</w:t>
            </w:r>
          </w:p>
          <w:p w14:paraId="6D3CAD5C">
            <w:pPr>
              <w:widowControl/>
              <w:numPr>
                <w:ilvl w:val="0"/>
                <w:numId w:val="0"/>
              </w:numPr>
              <w:ind w:leftChars="0"/>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注：</w:t>
            </w:r>
            <w:r>
              <w:rPr>
                <w:rFonts w:hint="default" w:ascii="Calibri" w:hAnsi="Calibri" w:cs="Calibri"/>
                <w:color w:val="auto"/>
                <w:kern w:val="0"/>
                <w:sz w:val="21"/>
                <w:szCs w:val="21"/>
                <w:highlight w:val="none"/>
                <w:lang w:val="en-US" w:eastAsia="zh-CN" w:bidi="ar-SA"/>
              </w:rPr>
              <w:t>①</w:t>
            </w:r>
            <w:r>
              <w:rPr>
                <w:rFonts w:hint="eastAsia" w:ascii="宋体" w:hAnsi="宋体" w:cs="宋体"/>
                <w:color w:val="auto"/>
                <w:kern w:val="0"/>
                <w:sz w:val="21"/>
                <w:szCs w:val="21"/>
                <w:highlight w:val="none"/>
                <w:lang w:val="en-US" w:eastAsia="zh-CN" w:bidi="ar-SA"/>
              </w:rPr>
              <w:t>所配</w:t>
            </w:r>
            <w:r>
              <w:rPr>
                <w:rFonts w:hint="default" w:ascii="宋体" w:hAnsi="宋体" w:eastAsia="宋体" w:cs="宋体"/>
                <w:color w:val="auto"/>
                <w:kern w:val="0"/>
                <w:sz w:val="21"/>
                <w:szCs w:val="21"/>
                <w:highlight w:val="none"/>
                <w:lang w:val="en-US" w:eastAsia="zh-CN"/>
              </w:rPr>
              <w:t>专业监理工程师可由房屋建筑工程专业国家级注册监理工程师担任</w:t>
            </w:r>
            <w:r>
              <w:rPr>
                <w:rFonts w:hint="eastAsia" w:ascii="宋体" w:hAnsi="宋体" w:cs="宋体"/>
                <w:color w:val="auto"/>
                <w:kern w:val="0"/>
                <w:sz w:val="21"/>
                <w:szCs w:val="21"/>
                <w:highlight w:val="none"/>
                <w:lang w:val="en-US" w:eastAsia="zh-CN"/>
              </w:rPr>
              <w:t>。</w:t>
            </w:r>
            <w:r>
              <w:rPr>
                <w:rFonts w:hint="default" w:ascii="Calibri" w:hAnsi="Calibri" w:cs="Calibri"/>
                <w:color w:val="auto"/>
                <w:kern w:val="0"/>
                <w:sz w:val="21"/>
                <w:szCs w:val="21"/>
                <w:highlight w:val="none"/>
                <w:lang w:val="en-US" w:eastAsia="zh-CN" w:bidi="ar-SA"/>
              </w:rPr>
              <w:t>②</w:t>
            </w:r>
            <w:r>
              <w:rPr>
                <w:rFonts w:hint="eastAsia" w:ascii="宋体" w:hAnsi="宋体" w:cs="宋体"/>
                <w:color w:val="auto"/>
                <w:kern w:val="0"/>
                <w:sz w:val="21"/>
                <w:szCs w:val="21"/>
                <w:highlight w:val="none"/>
                <w:lang w:val="en-US" w:eastAsia="zh-CN" w:bidi="ar-SA"/>
              </w:rPr>
              <w:t>上述</w:t>
            </w:r>
            <w:r>
              <w:rPr>
                <w:rFonts w:hint="eastAsia" w:ascii="宋体" w:hAnsi="宋体" w:eastAsia="宋体" w:cs="宋体"/>
                <w:color w:val="auto"/>
                <w:kern w:val="0"/>
                <w:sz w:val="21"/>
                <w:szCs w:val="21"/>
                <w:lang w:val="en-US" w:eastAsia="zh-CN"/>
              </w:rPr>
              <w:t>所</w:t>
            </w:r>
            <w:r>
              <w:rPr>
                <w:rFonts w:hint="eastAsia" w:ascii="宋体" w:hAnsi="宋体" w:cs="宋体"/>
                <w:color w:val="auto"/>
                <w:kern w:val="0"/>
                <w:sz w:val="21"/>
                <w:szCs w:val="21"/>
                <w:lang w:val="en-US" w:eastAsia="zh-CN"/>
              </w:rPr>
              <w:t>配</w:t>
            </w:r>
            <w:r>
              <w:rPr>
                <w:rFonts w:hint="eastAsia" w:ascii="宋体" w:hAnsi="宋体" w:eastAsia="宋体" w:cs="宋体"/>
                <w:color w:val="auto"/>
                <w:kern w:val="0"/>
                <w:sz w:val="21"/>
                <w:szCs w:val="21"/>
                <w:lang w:val="en-US" w:eastAsia="zh-CN"/>
              </w:rPr>
              <w:t>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auto"/>
                <w:kern w:val="0"/>
                <w:sz w:val="21"/>
                <w:szCs w:val="21"/>
                <w:lang w:val="en-US" w:eastAsia="zh-CN"/>
              </w:rPr>
              <w:t>相关证明资料</w:t>
            </w:r>
            <w:r>
              <w:rPr>
                <w:rFonts w:hint="eastAsia" w:ascii="宋体" w:hAnsi="宋体" w:eastAsia="宋体" w:cs="宋体"/>
                <w:color w:val="auto"/>
                <w:kern w:val="0"/>
                <w:sz w:val="21"/>
                <w:szCs w:val="21"/>
                <w:lang w:val="en-US" w:eastAsia="zh-CN"/>
              </w:rPr>
              <w:t>复印件）</w:t>
            </w:r>
            <w:r>
              <w:rPr>
                <w:rFonts w:hint="eastAsia" w:ascii="宋体" w:hAnsi="宋体" w:cs="宋体"/>
                <w:color w:val="auto"/>
                <w:kern w:val="0"/>
                <w:sz w:val="21"/>
                <w:szCs w:val="21"/>
                <w:lang w:val="en-US" w:eastAsia="zh-CN"/>
              </w:rPr>
              <w:t>。</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19" w:type="dxa"/>
            <w:vMerge w:val="continue"/>
            <w:vAlign w:val="center"/>
          </w:tcPr>
          <w:p w14:paraId="01DFD504">
            <w:pPr>
              <w:widowControl/>
              <w:rPr>
                <w:rFonts w:hint="eastAsia" w:ascii="宋体" w:hAnsi="宋体" w:cs="宋体"/>
                <w:b/>
                <w:bCs/>
                <w:color w:val="auto"/>
                <w:kern w:val="0"/>
                <w:sz w:val="21"/>
                <w:szCs w:val="21"/>
                <w:highlight w:val="none"/>
              </w:rPr>
            </w:pPr>
          </w:p>
        </w:tc>
        <w:tc>
          <w:tcPr>
            <w:tcW w:w="2548" w:type="dxa"/>
            <w:vAlign w:val="center"/>
          </w:tcPr>
          <w:p w14:paraId="7B442F2A">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总监理工程师业绩（</w:t>
            </w:r>
            <w:r>
              <w:rPr>
                <w:rFonts w:hint="eastAsia" w:ascii="宋体" w:hAnsi="宋体" w:cs="宋体"/>
                <w:b/>
                <w:bCs/>
                <w:color w:val="auto"/>
                <w:kern w:val="0"/>
                <w:sz w:val="21"/>
                <w:szCs w:val="21"/>
                <w:highlight w:val="none"/>
                <w:lang w:val="en-US" w:eastAsia="zh-CN" w:bidi="ar-SA"/>
              </w:rPr>
              <w:t>2.0</w:t>
            </w:r>
            <w:r>
              <w:rPr>
                <w:rFonts w:hint="eastAsia" w:ascii="宋体" w:hAnsi="宋体" w:eastAsia="宋体" w:cs="宋体"/>
                <w:b/>
                <w:bCs/>
                <w:color w:val="auto"/>
                <w:kern w:val="0"/>
                <w:sz w:val="21"/>
                <w:szCs w:val="21"/>
                <w:highlight w:val="none"/>
                <w:lang w:val="en-US" w:eastAsia="zh-CN" w:bidi="ar-SA"/>
              </w:rPr>
              <w:t>分）</w:t>
            </w:r>
          </w:p>
        </w:tc>
        <w:tc>
          <w:tcPr>
            <w:tcW w:w="6061" w:type="dxa"/>
            <w:vAlign w:val="center"/>
          </w:tcPr>
          <w:p w14:paraId="790C6DB1">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总监理工程师近年（202</w:t>
            </w:r>
            <w:r>
              <w:rPr>
                <w:rFonts w:hint="eastAsia" w:ascii="宋体" w:hAnsi="宋体" w:cs="宋体"/>
                <w:color w:val="auto"/>
                <w:kern w:val="0"/>
                <w:sz w:val="21"/>
                <w:szCs w:val="21"/>
                <w:highlight w:val="none"/>
                <w:lang w:val="en-US" w:eastAsia="zh-CN" w:bidi="ar-SA"/>
              </w:rPr>
              <w:t>3</w:t>
            </w:r>
            <w:bookmarkStart w:id="0" w:name="_GoBack"/>
            <w:bookmarkEnd w:id="0"/>
            <w:r>
              <w:rPr>
                <w:rFonts w:hint="eastAsia" w:ascii="宋体" w:hAnsi="宋体" w:eastAsia="宋体" w:cs="宋体"/>
                <w:color w:val="auto"/>
                <w:kern w:val="0"/>
                <w:sz w:val="21"/>
                <w:szCs w:val="21"/>
                <w:highlight w:val="none"/>
                <w:lang w:val="en-US" w:eastAsia="zh-CN" w:bidi="ar-SA"/>
              </w:rPr>
              <w:t>年1月1日至今，以合同签订时间为准），每担任过1项建筑工程项目总监理工程师的，得</w:t>
            </w:r>
            <w:r>
              <w:rPr>
                <w:rFonts w:hint="eastAsia" w:ascii="宋体" w:hAnsi="宋体" w:cs="宋体"/>
                <w:color w:val="auto"/>
                <w:kern w:val="0"/>
                <w:sz w:val="21"/>
                <w:szCs w:val="21"/>
                <w:highlight w:val="none"/>
                <w:lang w:val="en-US" w:eastAsia="zh-CN" w:bidi="ar-SA"/>
              </w:rPr>
              <w:t>1.0</w:t>
            </w:r>
            <w:r>
              <w:rPr>
                <w:rFonts w:hint="eastAsia" w:ascii="宋体" w:hAnsi="宋体" w:eastAsia="宋体" w:cs="宋体"/>
                <w:color w:val="auto"/>
                <w:kern w:val="0"/>
                <w:sz w:val="21"/>
                <w:szCs w:val="21"/>
                <w:highlight w:val="none"/>
                <w:lang w:val="en-US" w:eastAsia="zh-CN" w:bidi="ar-SA"/>
              </w:rPr>
              <w:t>分，最高得</w:t>
            </w:r>
            <w:r>
              <w:rPr>
                <w:rFonts w:hint="eastAsia" w:ascii="宋体" w:hAnsi="宋体" w:cs="宋体"/>
                <w:color w:val="auto"/>
                <w:kern w:val="0"/>
                <w:sz w:val="21"/>
                <w:szCs w:val="21"/>
                <w:highlight w:val="none"/>
                <w:lang w:val="en-US" w:eastAsia="zh-CN" w:bidi="ar-SA"/>
              </w:rPr>
              <w:t>2.0</w:t>
            </w:r>
            <w:r>
              <w:rPr>
                <w:rFonts w:hint="eastAsia" w:ascii="宋体" w:hAnsi="宋体" w:eastAsia="宋体" w:cs="宋体"/>
                <w:color w:val="auto"/>
                <w:kern w:val="0"/>
                <w:sz w:val="21"/>
                <w:szCs w:val="21"/>
                <w:highlight w:val="none"/>
                <w:lang w:val="en-US" w:eastAsia="zh-CN" w:bidi="ar-SA"/>
              </w:rPr>
              <w:t>分。（投标文件需附合同</w:t>
            </w:r>
            <w:r>
              <w:rPr>
                <w:rFonts w:hint="eastAsia" w:ascii="宋体" w:hAnsi="宋体" w:cs="宋体"/>
                <w:color w:val="auto"/>
                <w:kern w:val="0"/>
                <w:sz w:val="21"/>
                <w:szCs w:val="21"/>
                <w:highlight w:val="none"/>
                <w:lang w:val="en-US" w:eastAsia="zh-CN" w:bidi="ar-SA"/>
              </w:rPr>
              <w:t>扫描件</w:t>
            </w:r>
            <w:r>
              <w:rPr>
                <w:rFonts w:hint="eastAsia" w:ascii="宋体" w:hAnsi="宋体" w:eastAsia="宋体" w:cs="宋体"/>
                <w:color w:val="auto"/>
                <w:kern w:val="0"/>
                <w:sz w:val="21"/>
                <w:szCs w:val="21"/>
                <w:highlight w:val="none"/>
                <w:lang w:val="en-US" w:eastAsia="zh-CN" w:bidi="ar-SA"/>
              </w:rPr>
              <w:t>，合同中不体现项目总监理工程师的须提供相关证明资料，否则按无效业绩处理）。</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19" w:type="dxa"/>
            <w:vAlign w:val="center"/>
          </w:tcPr>
          <w:p w14:paraId="2DECBA54">
            <w:pPr>
              <w:widowControl/>
              <w:jc w:val="center"/>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投 标</w:t>
            </w:r>
          </w:p>
          <w:p w14:paraId="7CDDABE4">
            <w:pPr>
              <w:widowControl/>
              <w:jc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rPr>
              <w:t>报 价</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30分</w:t>
            </w:r>
            <w:r>
              <w:rPr>
                <w:rFonts w:hint="eastAsia" w:ascii="宋体" w:hAnsi="宋体" w:cs="宋体"/>
                <w:b/>
                <w:bCs/>
                <w:color w:val="auto"/>
                <w:kern w:val="0"/>
                <w:sz w:val="21"/>
                <w:szCs w:val="21"/>
                <w:highlight w:val="none"/>
                <w:lang w:eastAsia="zh-CN"/>
              </w:rPr>
              <w:t>）</w:t>
            </w:r>
          </w:p>
        </w:tc>
        <w:tc>
          <w:tcPr>
            <w:tcW w:w="2548" w:type="dxa"/>
            <w:vAlign w:val="center"/>
          </w:tcPr>
          <w:p w14:paraId="55120FC7">
            <w:pPr>
              <w:widowControl/>
              <w:rPr>
                <w:rFonts w:hint="eastAsia" w:ascii="宋体" w:hAnsi="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投标报价得分30分</w:t>
            </w:r>
          </w:p>
        </w:tc>
        <w:tc>
          <w:tcPr>
            <w:tcW w:w="6061" w:type="dxa"/>
            <w:vAlign w:val="center"/>
          </w:tcPr>
          <w:p w14:paraId="364364FF">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价格项评审因素得分＝（评标基准价/投标报价）</w:t>
            </w:r>
            <w:r>
              <w:rPr>
                <w:rFonts w:hint="default" w:ascii="宋体" w:hAnsi="宋体" w:eastAsia="宋体" w:cs="宋体"/>
                <w:color w:val="auto"/>
                <w:kern w:val="0"/>
                <w:sz w:val="21"/>
                <w:szCs w:val="21"/>
                <w:highlight w:val="none"/>
                <w:lang w:val="en-US" w:eastAsia="zh-CN" w:bidi="ar-SA"/>
              </w:rPr>
              <w:t>×100×</w:t>
            </w:r>
            <w:r>
              <w:rPr>
                <w:rFonts w:hint="eastAsia" w:ascii="宋体" w:hAnsi="宋体" w:eastAsia="宋体" w:cs="宋体"/>
                <w:color w:val="auto"/>
                <w:kern w:val="0"/>
                <w:sz w:val="21"/>
                <w:szCs w:val="21"/>
                <w:highlight w:val="none"/>
                <w:lang w:val="en-US" w:eastAsia="zh-CN" w:bidi="ar-SA"/>
              </w:rPr>
              <w:t>价格项评审因素所占的权重（30%） （注：满足比选文件要求且投标价格最低的投标报价为评标基准价。）</w:t>
            </w:r>
          </w:p>
        </w:tc>
      </w:tr>
    </w:tbl>
    <w:p w14:paraId="72AA6F46"/>
    <w:p w14:paraId="4E50FA49">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71C78A9F">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根据排序，得分最高的比选投标人作为本项目比选中标人并与比选招标人签订合同。</w:t>
      </w:r>
    </w:p>
    <w:p w14:paraId="2FCF0A27">
      <w:pPr>
        <w:pStyle w:val="4"/>
        <w:rPr>
          <w:rFonts w:hint="eastAsia"/>
          <w:lang w:eastAsia="zh-CN"/>
        </w:rPr>
      </w:pP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1F56B1"/>
    <w:rsid w:val="012810B4"/>
    <w:rsid w:val="01560EE5"/>
    <w:rsid w:val="0167398B"/>
    <w:rsid w:val="024C4475"/>
    <w:rsid w:val="02F736D5"/>
    <w:rsid w:val="03301278"/>
    <w:rsid w:val="03710AF1"/>
    <w:rsid w:val="03EC5633"/>
    <w:rsid w:val="04CA7814"/>
    <w:rsid w:val="04E47A17"/>
    <w:rsid w:val="05A9018D"/>
    <w:rsid w:val="05D43B35"/>
    <w:rsid w:val="06AF1515"/>
    <w:rsid w:val="07472E25"/>
    <w:rsid w:val="07DF4970"/>
    <w:rsid w:val="07EA73C5"/>
    <w:rsid w:val="086752B3"/>
    <w:rsid w:val="0872235B"/>
    <w:rsid w:val="08D4742C"/>
    <w:rsid w:val="09245E8F"/>
    <w:rsid w:val="0A2B151B"/>
    <w:rsid w:val="0AE66B09"/>
    <w:rsid w:val="0B0D430E"/>
    <w:rsid w:val="0B657E3F"/>
    <w:rsid w:val="0B7F16DF"/>
    <w:rsid w:val="0BBC0FA3"/>
    <w:rsid w:val="0C626212"/>
    <w:rsid w:val="0C697B8D"/>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BD6592"/>
    <w:rsid w:val="161B669A"/>
    <w:rsid w:val="169C77DB"/>
    <w:rsid w:val="16C8503C"/>
    <w:rsid w:val="16F24C74"/>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4971CB"/>
    <w:rsid w:val="23F16B0C"/>
    <w:rsid w:val="25585215"/>
    <w:rsid w:val="260F2F4A"/>
    <w:rsid w:val="26312FF5"/>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309051B6"/>
    <w:rsid w:val="30BB178B"/>
    <w:rsid w:val="3169177A"/>
    <w:rsid w:val="31846257"/>
    <w:rsid w:val="319A651A"/>
    <w:rsid w:val="31C705FE"/>
    <w:rsid w:val="31E542D4"/>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C871CC"/>
    <w:rsid w:val="396B18F3"/>
    <w:rsid w:val="39C16CA5"/>
    <w:rsid w:val="3A4024B3"/>
    <w:rsid w:val="3A62773C"/>
    <w:rsid w:val="3AB24F6F"/>
    <w:rsid w:val="3AB94550"/>
    <w:rsid w:val="3AED6192"/>
    <w:rsid w:val="3BA61806"/>
    <w:rsid w:val="3BC525E8"/>
    <w:rsid w:val="3C0C7C67"/>
    <w:rsid w:val="3CE14E72"/>
    <w:rsid w:val="3DEC6C1A"/>
    <w:rsid w:val="3E304B6F"/>
    <w:rsid w:val="3E5645AE"/>
    <w:rsid w:val="3F1B617E"/>
    <w:rsid w:val="3F6B49E7"/>
    <w:rsid w:val="3FCC6AD3"/>
    <w:rsid w:val="407713CF"/>
    <w:rsid w:val="411C0F21"/>
    <w:rsid w:val="417413BF"/>
    <w:rsid w:val="41A04F09"/>
    <w:rsid w:val="41B12925"/>
    <w:rsid w:val="41D25675"/>
    <w:rsid w:val="420B72FB"/>
    <w:rsid w:val="422E4A30"/>
    <w:rsid w:val="427E3424"/>
    <w:rsid w:val="42CB6BCE"/>
    <w:rsid w:val="43282273"/>
    <w:rsid w:val="44585060"/>
    <w:rsid w:val="45967968"/>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C49B3"/>
    <w:rsid w:val="4DF87E62"/>
    <w:rsid w:val="4ED15FDA"/>
    <w:rsid w:val="4F693909"/>
    <w:rsid w:val="4FA05F31"/>
    <w:rsid w:val="4FE22BBF"/>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8F44C79"/>
    <w:rsid w:val="59223EB6"/>
    <w:rsid w:val="59450CF0"/>
    <w:rsid w:val="59CC2262"/>
    <w:rsid w:val="59FF24F0"/>
    <w:rsid w:val="5A20770E"/>
    <w:rsid w:val="5ABC1BBF"/>
    <w:rsid w:val="5ACD5E2C"/>
    <w:rsid w:val="5ADB5852"/>
    <w:rsid w:val="5B9D46F0"/>
    <w:rsid w:val="5BBA1DA4"/>
    <w:rsid w:val="5D5548F7"/>
    <w:rsid w:val="5D992979"/>
    <w:rsid w:val="5E3621C1"/>
    <w:rsid w:val="5E782277"/>
    <w:rsid w:val="5E917E2C"/>
    <w:rsid w:val="5ED03A93"/>
    <w:rsid w:val="5F5A15AE"/>
    <w:rsid w:val="5FE75693"/>
    <w:rsid w:val="602E725E"/>
    <w:rsid w:val="603D1753"/>
    <w:rsid w:val="60FF065F"/>
    <w:rsid w:val="62232491"/>
    <w:rsid w:val="636D59F7"/>
    <w:rsid w:val="63E1229E"/>
    <w:rsid w:val="64C56F22"/>
    <w:rsid w:val="65652A5B"/>
    <w:rsid w:val="65B009CF"/>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910BA8"/>
    <w:rsid w:val="710042F6"/>
    <w:rsid w:val="714B5350"/>
    <w:rsid w:val="71C04BA8"/>
    <w:rsid w:val="724C19C2"/>
    <w:rsid w:val="72A96818"/>
    <w:rsid w:val="73AE11EE"/>
    <w:rsid w:val="73CB395E"/>
    <w:rsid w:val="74370701"/>
    <w:rsid w:val="748C7224"/>
    <w:rsid w:val="748F7EBB"/>
    <w:rsid w:val="7501578F"/>
    <w:rsid w:val="77705C1A"/>
    <w:rsid w:val="77783405"/>
    <w:rsid w:val="77B738D2"/>
    <w:rsid w:val="77DC6411"/>
    <w:rsid w:val="78216CB5"/>
    <w:rsid w:val="7846008F"/>
    <w:rsid w:val="79BC6C95"/>
    <w:rsid w:val="7A7C32C7"/>
    <w:rsid w:val="7A9167A5"/>
    <w:rsid w:val="7A9937C8"/>
    <w:rsid w:val="7ADC79A2"/>
    <w:rsid w:val="7B146C82"/>
    <w:rsid w:val="7B507329"/>
    <w:rsid w:val="7C074040"/>
    <w:rsid w:val="7CA855C5"/>
    <w:rsid w:val="7CC27F6F"/>
    <w:rsid w:val="7CF92428"/>
    <w:rsid w:val="7DE20C36"/>
    <w:rsid w:val="7DEA207C"/>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360" w:lineRule="auto"/>
      <w:outlineLvl w:val="0"/>
    </w:pPr>
    <w:rPr>
      <w:b/>
      <w:bCs/>
      <w:kern w:val="44"/>
      <w:sz w:val="32"/>
      <w:szCs w:val="44"/>
    </w:rPr>
  </w:style>
  <w:style w:type="paragraph" w:styleId="3">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Balloon Text"/>
    <w:basedOn w:val="1"/>
    <w:link w:val="21"/>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2"/>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9">
    <w:name w:val="Body Text First Indent"/>
    <w:basedOn w:val="1"/>
    <w:qFormat/>
    <w:uiPriority w:val="0"/>
    <w:pPr>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标题 1 Char"/>
    <w:basedOn w:val="12"/>
    <w:link w:val="2"/>
    <w:autoRedefine/>
    <w:qFormat/>
    <w:uiPriority w:val="0"/>
    <w:rPr>
      <w:b/>
      <w:bCs/>
      <w:kern w:val="44"/>
      <w:sz w:val="32"/>
      <w:szCs w:val="44"/>
    </w:rPr>
  </w:style>
  <w:style w:type="character" w:customStyle="1" w:styleId="15">
    <w:name w:val="列出段落 Char"/>
    <w:link w:val="16"/>
    <w:autoRedefine/>
    <w:qFormat/>
    <w:uiPriority w:val="0"/>
    <w:rPr>
      <w:kern w:val="2"/>
      <w:sz w:val="21"/>
    </w:rPr>
  </w:style>
  <w:style w:type="paragraph" w:customStyle="1" w:styleId="16">
    <w:name w:val="List Paragraph"/>
    <w:basedOn w:val="1"/>
    <w:link w:val="15"/>
    <w:autoRedefine/>
    <w:qFormat/>
    <w:uiPriority w:val="0"/>
    <w:pPr>
      <w:ind w:firstLine="420" w:firstLineChars="200"/>
    </w:pPr>
    <w:rPr>
      <w:szCs w:val="20"/>
    </w:rPr>
  </w:style>
  <w:style w:type="character" w:customStyle="1" w:styleId="17">
    <w:name w:val="页眉 Char"/>
    <w:link w:val="7"/>
    <w:autoRedefine/>
    <w:qFormat/>
    <w:uiPriority w:val="99"/>
    <w:rPr>
      <w:kern w:val="2"/>
      <w:sz w:val="18"/>
      <w:szCs w:val="18"/>
    </w:rPr>
  </w:style>
  <w:style w:type="character" w:customStyle="1" w:styleId="18">
    <w:name w:val="页眉 Char1"/>
    <w:basedOn w:val="12"/>
    <w:autoRedefine/>
    <w:qFormat/>
    <w:uiPriority w:val="0"/>
    <w:rPr>
      <w:kern w:val="2"/>
      <w:sz w:val="18"/>
      <w:szCs w:val="18"/>
    </w:rPr>
  </w:style>
  <w:style w:type="character" w:customStyle="1" w:styleId="19">
    <w:name w:val="页脚 Char"/>
    <w:basedOn w:val="12"/>
    <w:link w:val="6"/>
    <w:autoRedefine/>
    <w:qFormat/>
    <w:uiPriority w:val="99"/>
    <w:rPr>
      <w:kern w:val="2"/>
      <w:sz w:val="18"/>
      <w:szCs w:val="18"/>
    </w:rPr>
  </w:style>
  <w:style w:type="paragraph" w:customStyle="1" w:styleId="20">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5"/>
    <w:autoRedefine/>
    <w:qFormat/>
    <w:uiPriority w:val="0"/>
    <w:rPr>
      <w:kern w:val="2"/>
      <w:sz w:val="18"/>
      <w:szCs w:val="18"/>
    </w:rPr>
  </w:style>
  <w:style w:type="character" w:customStyle="1" w:styleId="22">
    <w:name w:val="副标题 Char"/>
    <w:basedOn w:val="12"/>
    <w:link w:val="8"/>
    <w:autoRedefine/>
    <w:qFormat/>
    <w:uiPriority w:val="0"/>
    <w:rPr>
      <w:rFonts w:asciiTheme="majorHAnsi" w:hAnsiTheme="majorHAnsi" w:cstheme="majorBidi"/>
      <w:b/>
      <w:bCs/>
      <w:kern w:val="28"/>
      <w:sz w:val="32"/>
      <w:szCs w:val="32"/>
    </w:rPr>
  </w:style>
  <w:style w:type="paragraph" w:customStyle="1" w:styleId="23">
    <w:name w:val="Normal_3"/>
    <w:autoRedefine/>
    <w:qFormat/>
    <w:uiPriority w:val="0"/>
    <w:rPr>
      <w:rFonts w:ascii="Times New Roman" w:hAnsi="Times New Roman" w:eastAsia="宋体" w:cs="Times New Roman"/>
      <w:sz w:val="24"/>
      <w:szCs w:val="24"/>
      <w:lang w:val="en-US" w:eastAsia="zh-CN" w:bidi="ar-SA"/>
    </w:rPr>
  </w:style>
  <w:style w:type="paragraph" w:customStyle="1" w:styleId="24">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1">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3642</Words>
  <Characters>3850</Characters>
  <Lines>38</Lines>
  <Paragraphs>10</Paragraphs>
  <TotalTime>7</TotalTime>
  <ScaleCrop>false</ScaleCrop>
  <LinksUpToDate>false</LinksUpToDate>
  <CharactersWithSpaces>3875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2025-06-26T07:50:09Z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