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color w:val="auto"/>
          <w:sz w:val="24"/>
          <w:lang w:val="en-US" w:eastAsia="zh-CN"/>
        </w:rPr>
      </w:pPr>
      <w:r>
        <w:rPr>
          <w:rFonts w:hint="eastAsia"/>
          <w:b/>
          <w:bCs/>
          <w:color w:val="auto"/>
          <w:sz w:val="24"/>
          <w:lang w:eastAsia="zh-CN"/>
        </w:rPr>
        <w:t>附件一</w:t>
      </w:r>
      <w:r>
        <w:rPr>
          <w:rFonts w:hint="eastAsia"/>
          <w:b/>
          <w:bCs/>
          <w:color w:val="auto"/>
          <w:sz w:val="24"/>
          <w:lang w:val="en-US" w:eastAsia="zh-CN"/>
        </w:rPr>
        <w:t xml:space="preserve"> 、投标</w:t>
      </w:r>
      <w:r>
        <w:rPr>
          <w:rFonts w:hint="eastAsia" w:ascii="宋体" w:hAnsi="宋体"/>
          <w:b/>
          <w:color w:val="auto"/>
          <w:sz w:val="24"/>
          <w:lang w:val="en-US" w:eastAsia="zh-CN"/>
        </w:rPr>
        <w:t>比选办法</w:t>
      </w:r>
    </w:p>
    <w:p w14:paraId="7E6C7379">
      <w:pPr>
        <w:widowControl/>
        <w:jc w:val="left"/>
        <w:rPr>
          <w:rFonts w:hint="eastAsia"/>
          <w:b/>
          <w:bCs/>
          <w:color w:val="auto"/>
          <w:sz w:val="24"/>
          <w:lang w:eastAsia="zh-CN"/>
        </w:rPr>
      </w:pPr>
    </w:p>
    <w:p w14:paraId="3648568B">
      <w:pPr>
        <w:widowControl/>
        <w:ind w:firstLine="4498" w:firstLineChars="1400"/>
        <w:jc w:val="left"/>
        <w:rPr>
          <w:rFonts w:hint="eastAsia"/>
          <w:b/>
          <w:bCs/>
          <w:color w:val="auto"/>
          <w:sz w:val="32"/>
          <w:szCs w:val="32"/>
        </w:rPr>
      </w:pPr>
      <w:r>
        <w:rPr>
          <w:rFonts w:hint="eastAsia"/>
          <w:b/>
          <w:bCs/>
          <w:color w:val="auto"/>
          <w:sz w:val="32"/>
          <w:szCs w:val="32"/>
          <w:lang w:eastAsia="zh-CN"/>
        </w:rPr>
        <w:t>比选</w:t>
      </w:r>
      <w:r>
        <w:rPr>
          <w:rFonts w:hint="eastAsia"/>
          <w:b/>
          <w:bCs/>
          <w:color w:val="auto"/>
          <w:sz w:val="32"/>
          <w:szCs w:val="32"/>
        </w:rPr>
        <w:t>办法</w:t>
      </w:r>
    </w:p>
    <w:p w14:paraId="7014F204">
      <w:pPr>
        <w:widowControl/>
        <w:spacing w:line="360" w:lineRule="auto"/>
        <w:jc w:val="left"/>
        <w:rPr>
          <w:b/>
          <w:bCs/>
          <w:color w:val="auto"/>
          <w:sz w:val="24"/>
        </w:rPr>
      </w:pPr>
      <w:r>
        <w:rPr>
          <w:rFonts w:hint="eastAsia"/>
          <w:b/>
          <w:bCs/>
          <w:color w:val="auto"/>
          <w:sz w:val="24"/>
        </w:rPr>
        <w:t>一、公开所有投标</w:t>
      </w:r>
      <w:r>
        <w:rPr>
          <w:rFonts w:hint="eastAsia"/>
          <w:b/>
          <w:bCs/>
          <w:color w:val="auto"/>
          <w:sz w:val="24"/>
          <w:lang w:eastAsia="zh-CN"/>
        </w:rPr>
        <w:t>人</w:t>
      </w:r>
      <w:r>
        <w:rPr>
          <w:rFonts w:hint="eastAsia"/>
          <w:b/>
          <w:bCs/>
          <w:color w:val="auto"/>
          <w:sz w:val="24"/>
        </w:rPr>
        <w:t>的主要信息</w:t>
      </w:r>
    </w:p>
    <w:p w14:paraId="40F79020">
      <w:pPr>
        <w:spacing w:line="360" w:lineRule="auto"/>
        <w:rPr>
          <w:b/>
          <w:bCs/>
          <w:color w:val="auto"/>
          <w:sz w:val="24"/>
        </w:rPr>
      </w:pPr>
      <w:r>
        <w:rPr>
          <w:rFonts w:hint="eastAsia"/>
          <w:b/>
          <w:bCs/>
          <w:color w:val="auto"/>
          <w:sz w:val="24"/>
        </w:rPr>
        <w:t>二、所有投标</w:t>
      </w:r>
      <w:r>
        <w:rPr>
          <w:rFonts w:hint="eastAsia"/>
          <w:b/>
          <w:bCs/>
          <w:color w:val="auto"/>
          <w:sz w:val="24"/>
          <w:lang w:eastAsia="zh-CN"/>
        </w:rPr>
        <w:t>人</w:t>
      </w:r>
      <w:r>
        <w:rPr>
          <w:rFonts w:hint="eastAsia"/>
          <w:b/>
          <w:bCs/>
          <w:color w:val="auto"/>
          <w:sz w:val="24"/>
        </w:rPr>
        <w:t>进行</w:t>
      </w:r>
      <w:r>
        <w:rPr>
          <w:rFonts w:hint="eastAsia"/>
          <w:b/>
          <w:bCs/>
          <w:color w:val="auto"/>
          <w:sz w:val="24"/>
          <w:lang w:eastAsia="zh-CN"/>
        </w:rPr>
        <w:t>资格性、</w:t>
      </w:r>
      <w:r>
        <w:rPr>
          <w:rFonts w:hint="eastAsia"/>
          <w:b/>
          <w:bCs/>
          <w:color w:val="auto"/>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          （总监理工程）</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拟派项目总监理工程</w:t>
            </w:r>
            <w:r>
              <w:rPr>
                <w:rFonts w:hint="eastAsia" w:ascii="宋体" w:hAnsi="宋体" w:cs="宋体"/>
                <w:color w:val="auto"/>
                <w:kern w:val="0"/>
                <w:sz w:val="21"/>
                <w:szCs w:val="21"/>
                <w:highlight w:val="none"/>
                <w:lang w:val="en-US" w:eastAsia="zh-CN"/>
              </w:rPr>
              <w:t>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（1）专业监理工程师配备：至少</w:t>
            </w:r>
            <w:r>
              <w:rPr>
                <w:rFonts w:hint="eastAsia" w:ascii="宋体" w:hAnsi="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highlight w:val="none"/>
                <w:lang w:val="en-US" w:eastAsia="zh-CN"/>
              </w:rPr>
              <w:t>）专职安全监理人员配备：</w:t>
            </w:r>
            <w:r>
              <w:rPr>
                <w:rFonts w:hint="eastAsia" w:ascii="宋体" w:hAnsi="宋体" w:cs="宋体"/>
                <w:color w:val="auto"/>
                <w:kern w:val="0"/>
                <w:sz w:val="21"/>
                <w:szCs w:val="21"/>
                <w:highlight w:val="none"/>
                <w:lang w:val="en-US" w:eastAsia="zh-CN"/>
              </w:rPr>
              <w:t>需</w:t>
            </w:r>
            <w:r>
              <w:rPr>
                <w:rFonts w:hint="default" w:ascii="宋体" w:hAnsi="宋体" w:eastAsia="宋体" w:cs="宋体"/>
                <w:color w:val="auto"/>
                <w:kern w:val="0"/>
                <w:sz w:val="21"/>
                <w:szCs w:val="21"/>
                <w:highlight w:val="none"/>
                <w:lang w:val="en-US" w:eastAsia="zh-CN"/>
              </w:rPr>
              <w:t>配备1名专职安全监理人员；</w:t>
            </w:r>
          </w:p>
          <w:p w14:paraId="79C7F0C8">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上述人员必须为本公司人员且证明资料在有效期内，并在投标文件中附以下资料：</w:t>
            </w:r>
          </w:p>
          <w:p w14:paraId="49C5FD2E">
            <w:pPr>
              <w:widowControl/>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lang w:val="en-US" w:eastAsia="zh-CN"/>
              </w:rPr>
              <w:t>①专业以资格证书或岗位证书为准，如上述证件未注明专业的则需要同时提供相关专业的职称证书</w:t>
            </w:r>
            <w:r>
              <w:rPr>
                <w:rFonts w:hint="default" w:ascii="宋体" w:hAnsi="宋体" w:eastAsia="宋体" w:cs="宋体"/>
                <w:color w:val="auto"/>
                <w:kern w:val="0"/>
                <w:sz w:val="21"/>
                <w:szCs w:val="21"/>
                <w:highlight w:val="none"/>
                <w:lang w:val="en-US" w:eastAsia="zh-CN"/>
              </w:rPr>
              <w:t>，专职安全监理人员须提供监理资格证书或岗位证书（不限专业）</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p>
          <w:p w14:paraId="14E07DE0">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②除内蒙古自治区</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 xml:space="preserve">2023年1月1日至今，至少提供2项单项合同价为20万元（含）以上的建筑工程监理业绩（投标文件需附合同复印件）。 </w:t>
            </w:r>
            <w:r>
              <w:rPr>
                <w:rFonts w:hint="eastAsia" w:ascii="宋体" w:hAnsi="宋体" w:cs="宋体"/>
                <w:color w:val="auto"/>
                <w:kern w:val="0"/>
                <w:sz w:val="21"/>
                <w:szCs w:val="21"/>
                <w:highlight w:val="none"/>
                <w:lang w:val="en-US" w:eastAsia="zh-CN"/>
              </w:rPr>
              <w:t xml:space="preserve">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ascii="宋体" w:hAnsi="宋体" w:eastAsia="宋体" w:cs="宋体"/>
                <w:color w:val="auto"/>
                <w:sz w:val="21"/>
              </w:rPr>
              <w:t>只有一个有效报价且不高于最高投标限价</w:t>
            </w:r>
            <w:r>
              <w:rPr>
                <w:rFonts w:hint="eastAsia" w:ascii="宋体" w:hAnsi="宋体" w:cs="宋体"/>
                <w:color w:val="auto"/>
                <w:sz w:val="21"/>
                <w:lang w:eastAsia="zh-CN"/>
              </w:rPr>
              <w:t>，分项报价且</w:t>
            </w:r>
            <w:r>
              <w:rPr>
                <w:rFonts w:ascii="宋体" w:hAnsi="宋体" w:eastAsia="宋体" w:cs="宋体"/>
                <w:color w:val="auto"/>
                <w:sz w:val="21"/>
              </w:rPr>
              <w:t>不高于</w:t>
            </w:r>
            <w:r>
              <w:rPr>
                <w:rFonts w:hint="eastAsia" w:ascii="宋体" w:hAnsi="宋体" w:cs="宋体"/>
                <w:color w:val="auto"/>
                <w:sz w:val="21"/>
                <w:lang w:eastAsia="zh-CN"/>
              </w:rPr>
              <w:t>分项</w:t>
            </w:r>
            <w:r>
              <w:rPr>
                <w:rFonts w:ascii="宋体" w:hAnsi="宋体" w:eastAsia="宋体" w:cs="宋体"/>
                <w:color w:val="auto"/>
                <w:sz w:val="21"/>
              </w:rPr>
              <w:t>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74ECF22">
            <w:pPr>
              <w:widowControl/>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w:t>
            </w:r>
            <w:r>
              <w:rPr>
                <w:rFonts w:hint="eastAsia" w:ascii="宋体" w:hAnsi="宋体" w:eastAsia="宋体" w:cs="宋体"/>
                <w:color w:val="auto"/>
                <w:kern w:val="0"/>
                <w:sz w:val="21"/>
                <w:szCs w:val="21"/>
                <w:highlight w:val="none"/>
                <w:lang w:val="en-US" w:eastAsia="zh-CN"/>
              </w:rPr>
              <w:t>包括鄂尔多斯市政府集中办公区消防等维修工程、鄂尔多斯市公安局2025年办公场所维修工程、鄂尔多斯市疾病预防控制中心2025年卫生健康大厦部分功能设施维修工程、鄂尔多斯市林业和草原局2025年办公大楼维修工程、鄂尔多斯市公安局交通管理支队2025年市车管所考场消防设施等维修工程、鄂尔多斯市民兵训练基地2025年维修工程六个项目</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所有维修内容。</w:t>
            </w:r>
          </w:p>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为上述</w:t>
            </w:r>
            <w:r>
              <w:rPr>
                <w:rFonts w:hint="eastAsia" w:ascii="宋体" w:hAnsi="宋体" w:cs="宋体"/>
                <w:color w:val="auto"/>
                <w:kern w:val="0"/>
                <w:sz w:val="21"/>
                <w:szCs w:val="21"/>
                <w:highlight w:val="none"/>
                <w:lang w:val="en-US" w:eastAsia="zh-CN"/>
              </w:rPr>
              <w:t>所有</w:t>
            </w:r>
            <w:r>
              <w:rPr>
                <w:rFonts w:hint="eastAsia" w:ascii="宋体" w:hAnsi="宋体" w:eastAsia="宋体" w:cs="宋体"/>
                <w:color w:val="auto"/>
                <w:kern w:val="0"/>
                <w:sz w:val="21"/>
                <w:szCs w:val="21"/>
                <w:highlight w:val="none"/>
                <w:lang w:val="en-US" w:eastAsia="zh-CN"/>
              </w:rPr>
              <w:t>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监理合同签订</w:t>
            </w:r>
            <w:r>
              <w:rPr>
                <w:rFonts w:hint="default" w:ascii="宋体" w:hAnsi="宋体" w:eastAsia="宋体" w:cs="宋体"/>
                <w:color w:val="auto"/>
                <w:kern w:val="0"/>
                <w:sz w:val="21"/>
                <w:szCs w:val="21"/>
                <w:highlight w:val="none"/>
                <w:lang w:val="en-US" w:eastAsia="zh-CN"/>
              </w:rPr>
              <w:t>之日起至</w:t>
            </w:r>
            <w:r>
              <w:rPr>
                <w:rFonts w:hint="eastAsia" w:ascii="宋体" w:hAnsi="宋体" w:eastAsia="宋体" w:cs="宋体"/>
                <w:color w:val="auto"/>
                <w:kern w:val="0"/>
                <w:sz w:val="21"/>
                <w:szCs w:val="21"/>
                <w:highlight w:val="none"/>
                <w:lang w:val="en-US" w:eastAsia="zh-CN"/>
              </w:rPr>
              <w:t>工程项目</w:t>
            </w:r>
            <w:r>
              <w:rPr>
                <w:rFonts w:hint="default" w:ascii="宋体" w:hAnsi="宋体" w:eastAsia="宋体" w:cs="宋体"/>
                <w:color w:val="auto"/>
                <w:kern w:val="0"/>
                <w:sz w:val="21"/>
                <w:szCs w:val="21"/>
                <w:highlight w:val="none"/>
                <w:lang w:val="en-US" w:eastAsia="zh-CN"/>
              </w:rPr>
              <w:t>缺陷责任期满</w:t>
            </w:r>
            <w:r>
              <w:rPr>
                <w:rFonts w:hint="eastAsia" w:ascii="宋体" w:hAnsi="宋体" w:eastAsia="宋体" w:cs="宋体"/>
                <w:color w:val="auto"/>
                <w:kern w:val="0"/>
                <w:sz w:val="21"/>
                <w:szCs w:val="21"/>
                <w:highlight w:val="none"/>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color w:val="auto"/>
        </w:rPr>
      </w:pPr>
      <w:r>
        <w:rPr>
          <w:rFonts w:hint="eastAsia"/>
          <w:color w:val="auto"/>
        </w:rPr>
        <w:br w:type="page"/>
      </w:r>
    </w:p>
    <w:p w14:paraId="523518C6">
      <w:pPr>
        <w:spacing w:line="360" w:lineRule="auto"/>
        <w:ind w:firstLine="236" w:firstLineChars="98"/>
        <w:rPr>
          <w:rFonts w:hint="eastAsia" w:ascii="宋体" w:hAnsi="宋体"/>
          <w:b/>
          <w:color w:val="auto"/>
          <w:sz w:val="24"/>
          <w:lang w:eastAsia="zh-CN"/>
        </w:rPr>
      </w:pPr>
      <w:r>
        <w:rPr>
          <w:rFonts w:hint="eastAsia" w:ascii="宋体" w:hAnsi="宋体"/>
          <w:b/>
          <w:color w:val="auto"/>
          <w:sz w:val="24"/>
        </w:rPr>
        <w:t>三、</w:t>
      </w:r>
      <w:r>
        <w:rPr>
          <w:rFonts w:hint="eastAsia" w:ascii="宋体" w:hAnsi="宋体"/>
          <w:b/>
          <w:color w:val="auto"/>
          <w:sz w:val="24"/>
          <w:lang w:eastAsia="zh-CN"/>
        </w:rPr>
        <w:t>对</w:t>
      </w:r>
      <w:r>
        <w:rPr>
          <w:rFonts w:hint="eastAsia" w:ascii="宋体" w:hAnsi="宋体"/>
          <w:b/>
          <w:color w:val="auto"/>
          <w:sz w:val="24"/>
        </w:rPr>
        <w:t>所有通过符合性审核的单位</w:t>
      </w:r>
      <w:r>
        <w:rPr>
          <w:rFonts w:hint="eastAsia" w:ascii="宋体" w:hAnsi="宋体"/>
          <w:b/>
          <w:color w:val="auto"/>
          <w:sz w:val="24"/>
          <w:lang w:eastAsia="zh-CN"/>
        </w:rPr>
        <w:t>进行详细评审</w:t>
      </w:r>
    </w:p>
    <w:p w14:paraId="539F501F">
      <w:pPr>
        <w:rPr>
          <w:rFonts w:hint="eastAsia"/>
          <w:b/>
          <w:bCs/>
          <w:color w:val="auto"/>
          <w:sz w:val="20"/>
          <w:szCs w:val="20"/>
          <w:lang w:val="en-US" w:eastAsia="zh-CN"/>
        </w:rPr>
      </w:pP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评审因素</w:t>
            </w:r>
          </w:p>
        </w:tc>
        <w:tc>
          <w:tcPr>
            <w:tcW w:w="6061" w:type="dxa"/>
            <w:vAlign w:val="center"/>
          </w:tcPr>
          <w:p w14:paraId="5D908301">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1.服务方案60分</w:t>
            </w:r>
          </w:p>
          <w:p w14:paraId="663E077B">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2.商务部分10分</w:t>
            </w:r>
          </w:p>
          <w:p w14:paraId="52976D49">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auto"/>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auto"/>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auto"/>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auto"/>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rPr>
                <w:color w:val="auto"/>
              </w:rPr>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auto"/>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rPr>
                <w:color w:val="auto"/>
              </w:rPr>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rPr>
                <w:color w:val="auto"/>
              </w:rPr>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商</w:t>
            </w:r>
            <w:r>
              <w:rPr>
                <w:rFonts w:hint="eastAsia" w:ascii="宋体" w:hAnsi="宋体" w:cs="宋体"/>
                <w:b/>
                <w:bCs/>
                <w:color w:val="auto"/>
                <w:kern w:val="0"/>
                <w:sz w:val="21"/>
                <w:szCs w:val="21"/>
                <w:highlight w:val="none"/>
                <w:lang w:val="en-US" w:eastAsia="zh-CN"/>
              </w:rPr>
              <w:t xml:space="preserve"> </w:t>
            </w:r>
            <w:r>
              <w:rPr>
                <w:rFonts w:hint="eastAsia" w:ascii="宋体" w:hAnsi="宋体" w:cs="宋体"/>
                <w:b/>
                <w:bCs/>
                <w:color w:val="auto"/>
                <w:kern w:val="0"/>
                <w:sz w:val="21"/>
                <w:szCs w:val="21"/>
                <w:highlight w:val="none"/>
              </w:rPr>
              <w:t>务</w:t>
            </w:r>
          </w:p>
          <w:p w14:paraId="14B707E9">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部</w:t>
            </w:r>
            <w:r>
              <w:rPr>
                <w:rFonts w:hint="eastAsia" w:ascii="宋体" w:hAnsi="宋体" w:cs="宋体"/>
                <w:b/>
                <w:bCs/>
                <w:color w:val="auto"/>
                <w:kern w:val="0"/>
                <w:sz w:val="21"/>
                <w:szCs w:val="21"/>
                <w:highlight w:val="none"/>
                <w:lang w:val="en-US" w:eastAsia="zh-CN"/>
              </w:rPr>
              <w:t xml:space="preserve"> </w:t>
            </w:r>
            <w:r>
              <w:rPr>
                <w:rFonts w:hint="eastAsia" w:ascii="宋体" w:hAnsi="宋体" w:cs="宋体"/>
                <w:b/>
                <w:bCs/>
                <w:color w:val="auto"/>
                <w:kern w:val="0"/>
                <w:sz w:val="21"/>
                <w:szCs w:val="21"/>
                <w:highlight w:val="none"/>
              </w:rPr>
              <w:t>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10分</w:t>
            </w:r>
            <w:r>
              <w:rPr>
                <w:rFonts w:hint="eastAsia" w:ascii="宋体" w:hAnsi="宋体" w:cs="宋体"/>
                <w:b/>
                <w:bCs/>
                <w:color w:val="auto"/>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总监理工程师任职资格（</w:t>
            </w:r>
            <w:r>
              <w:rPr>
                <w:rFonts w:hint="eastAsia" w:ascii="宋体" w:hAnsi="宋体" w:cs="宋体"/>
                <w:b/>
                <w:bCs/>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en-US" w:eastAsia="zh-CN" w:bidi="ar-SA"/>
              </w:rPr>
              <w:t>.0分）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具有副高级(含)以上技术职称</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分（投标文件需附职称证</w:t>
            </w:r>
            <w:r>
              <w:rPr>
                <w:rFonts w:hint="eastAsia" w:ascii="宋体" w:hAnsi="宋体" w:cs="宋体"/>
                <w:color w:val="auto"/>
                <w:kern w:val="0"/>
                <w:sz w:val="21"/>
                <w:szCs w:val="21"/>
                <w:highlight w:val="none"/>
                <w:lang w:val="en-US" w:eastAsia="zh-CN" w:bidi="ar-SA"/>
              </w:rPr>
              <w:t>书</w:t>
            </w:r>
            <w:r>
              <w:rPr>
                <w:rFonts w:hint="eastAsia" w:ascii="宋体" w:hAnsi="宋体" w:eastAsia="宋体" w:cs="宋体"/>
                <w:color w:val="auto"/>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auto"/>
                <w:kern w:val="0"/>
                <w:sz w:val="21"/>
                <w:szCs w:val="21"/>
                <w:highlight w:val="none"/>
              </w:rPr>
            </w:pPr>
          </w:p>
        </w:tc>
        <w:tc>
          <w:tcPr>
            <w:tcW w:w="2548" w:type="dxa"/>
            <w:vAlign w:val="center"/>
          </w:tcPr>
          <w:p w14:paraId="6D51AF31">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专业监理工程师任职资格</w:t>
            </w:r>
          </w:p>
          <w:p w14:paraId="7945A312">
            <w:pPr>
              <w:widowControl/>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（4.0分）</w:t>
            </w:r>
          </w:p>
        </w:tc>
        <w:tc>
          <w:tcPr>
            <w:tcW w:w="6061" w:type="dxa"/>
            <w:vAlign w:val="center"/>
          </w:tcPr>
          <w:p w14:paraId="73DC7903">
            <w:pPr>
              <w:widowControl/>
              <w:numPr>
                <w:ilvl w:val="0"/>
                <w:numId w:val="0"/>
              </w:numPr>
              <w:ind w:lef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拟派</w:t>
            </w:r>
            <w:r>
              <w:rPr>
                <w:rFonts w:hint="eastAsia" w:ascii="宋体" w:hAnsi="宋体" w:eastAsia="宋体" w:cs="宋体"/>
                <w:color w:val="auto"/>
                <w:kern w:val="0"/>
                <w:sz w:val="21"/>
                <w:szCs w:val="21"/>
                <w:highlight w:val="none"/>
                <w:lang w:val="en-US" w:eastAsia="zh-CN" w:bidi="ar-SA"/>
              </w:rPr>
              <w:t>专业监理工程师</w:t>
            </w:r>
            <w:r>
              <w:rPr>
                <w:rFonts w:hint="eastAsia" w:ascii="宋体" w:hAnsi="宋体" w:cs="宋体"/>
                <w:color w:val="auto"/>
                <w:kern w:val="0"/>
                <w:sz w:val="21"/>
                <w:szCs w:val="21"/>
                <w:highlight w:val="none"/>
                <w:lang w:val="en-US" w:eastAsia="zh-CN" w:bidi="ar-SA"/>
              </w:rPr>
              <w:t>中</w:t>
            </w:r>
            <w:r>
              <w:rPr>
                <w:rFonts w:hint="eastAsia" w:ascii="宋体" w:hAnsi="宋体" w:eastAsia="宋体" w:cs="宋体"/>
                <w:color w:val="auto"/>
                <w:kern w:val="0"/>
                <w:sz w:val="21"/>
                <w:szCs w:val="21"/>
                <w:highlight w:val="none"/>
                <w:lang w:val="en-US" w:eastAsia="zh-CN" w:bidi="ar-SA"/>
              </w:rPr>
              <w:t>每有1个副高级(含)以上技术职称</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得2</w:t>
            </w:r>
            <w:r>
              <w:rPr>
                <w:rFonts w:hint="eastAsia" w:ascii="宋体" w:hAnsi="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分，每有一个中级技术职称</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得1</w:t>
            </w:r>
            <w:r>
              <w:rPr>
                <w:rFonts w:hint="eastAsia" w:ascii="宋体" w:hAnsi="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kern w:val="0"/>
                <w:sz w:val="21"/>
                <w:szCs w:val="21"/>
                <w:highlight w:val="none"/>
                <w:lang w:val="en-US" w:eastAsia="zh-CN" w:bidi="ar-SA"/>
              </w:rPr>
              <w:t>本项最高得4.0分</w:t>
            </w:r>
            <w:r>
              <w:rPr>
                <w:rFonts w:hint="eastAsia" w:ascii="宋体" w:hAnsi="宋体" w:eastAsia="宋体" w:cs="宋体"/>
                <w:color w:val="auto"/>
                <w:kern w:val="0"/>
                <w:sz w:val="21"/>
                <w:szCs w:val="21"/>
                <w:highlight w:val="none"/>
                <w:lang w:val="en-US" w:eastAsia="zh-CN" w:bidi="ar-SA"/>
              </w:rPr>
              <w:t>。（投标文件需附职称证复印件）</w:t>
            </w:r>
          </w:p>
        </w:tc>
      </w:tr>
      <w:tr w14:paraId="66DD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03A79957">
            <w:pPr>
              <w:widowControl/>
              <w:jc w:val="center"/>
              <w:rPr>
                <w:rFonts w:hint="eastAsia" w:ascii="宋体" w:hAnsi="宋体" w:cs="宋体"/>
                <w:b/>
                <w:bCs/>
                <w:color w:val="auto"/>
                <w:kern w:val="0"/>
                <w:sz w:val="21"/>
                <w:szCs w:val="21"/>
                <w:highlight w:val="none"/>
              </w:rPr>
            </w:pPr>
          </w:p>
        </w:tc>
        <w:tc>
          <w:tcPr>
            <w:tcW w:w="2548" w:type="dxa"/>
            <w:vAlign w:val="center"/>
          </w:tcPr>
          <w:p w14:paraId="6FD88A1C">
            <w:pPr>
              <w:widowControl/>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人员配备（2.0分）</w:t>
            </w:r>
          </w:p>
        </w:tc>
        <w:tc>
          <w:tcPr>
            <w:tcW w:w="6061" w:type="dxa"/>
            <w:vAlign w:val="center"/>
          </w:tcPr>
          <w:p w14:paraId="682D042F">
            <w:pPr>
              <w:widowControl/>
              <w:numPr>
                <w:ilvl w:val="0"/>
                <w:numId w:val="0"/>
              </w:numPr>
              <w:ind w:leftChars="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满足初步评审的基础上，每多配备一名房屋建筑或建筑工程相关专业监理工程师的，得1.0分，最高得2.0分。</w:t>
            </w:r>
          </w:p>
          <w:p w14:paraId="6D3CAD5C">
            <w:pPr>
              <w:widowControl/>
              <w:numPr>
                <w:ilvl w:val="0"/>
                <w:numId w:val="0"/>
              </w:numPr>
              <w:ind w:leftChars="0"/>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注：</w:t>
            </w:r>
            <w:r>
              <w:rPr>
                <w:rFonts w:hint="default" w:ascii="Calibri" w:hAnsi="Calibri" w:cs="Calibri"/>
                <w:color w:val="auto"/>
                <w:kern w:val="0"/>
                <w:sz w:val="21"/>
                <w:szCs w:val="21"/>
                <w:highlight w:val="none"/>
                <w:lang w:val="en-US" w:eastAsia="zh-CN" w:bidi="ar-SA"/>
              </w:rPr>
              <w:t>①</w:t>
            </w:r>
            <w:r>
              <w:rPr>
                <w:rFonts w:hint="eastAsia" w:ascii="宋体" w:hAnsi="宋体" w:cs="宋体"/>
                <w:color w:val="auto"/>
                <w:kern w:val="0"/>
                <w:sz w:val="21"/>
                <w:szCs w:val="21"/>
                <w:highlight w:val="none"/>
                <w:lang w:val="en-US" w:eastAsia="zh-CN" w:bidi="ar-SA"/>
              </w:rPr>
              <w:t>所配</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r>
              <w:rPr>
                <w:rFonts w:hint="eastAsia" w:ascii="宋体" w:hAnsi="宋体" w:cs="宋体"/>
                <w:color w:val="auto"/>
                <w:kern w:val="0"/>
                <w:sz w:val="21"/>
                <w:szCs w:val="21"/>
                <w:highlight w:val="none"/>
                <w:lang w:val="en-US" w:eastAsia="zh-CN"/>
              </w:rPr>
              <w:t>。</w:t>
            </w:r>
            <w:r>
              <w:rPr>
                <w:rFonts w:hint="default" w:ascii="Calibri" w:hAnsi="Calibri" w:cs="Calibri"/>
                <w:color w:val="auto"/>
                <w:kern w:val="0"/>
                <w:sz w:val="21"/>
                <w:szCs w:val="21"/>
                <w:highlight w:val="none"/>
                <w:lang w:val="en-US" w:eastAsia="zh-CN" w:bidi="ar-SA"/>
              </w:rPr>
              <w:t>②</w:t>
            </w:r>
            <w:r>
              <w:rPr>
                <w:rFonts w:hint="eastAsia" w:ascii="宋体" w:hAnsi="宋体" w:cs="宋体"/>
                <w:color w:val="auto"/>
                <w:kern w:val="0"/>
                <w:sz w:val="21"/>
                <w:szCs w:val="21"/>
                <w:highlight w:val="none"/>
                <w:lang w:val="en-US" w:eastAsia="zh-CN" w:bidi="ar-SA"/>
              </w:rPr>
              <w:t>上述</w:t>
            </w:r>
            <w:r>
              <w:rPr>
                <w:rFonts w:hint="eastAsia" w:ascii="宋体" w:hAnsi="宋体" w:eastAsia="宋体" w:cs="宋体"/>
                <w:color w:val="auto"/>
                <w:kern w:val="0"/>
                <w:sz w:val="21"/>
                <w:szCs w:val="21"/>
                <w:lang w:val="en-US" w:eastAsia="zh-CN"/>
              </w:rPr>
              <w:t>所</w:t>
            </w:r>
            <w:r>
              <w:rPr>
                <w:rFonts w:hint="eastAsia" w:ascii="宋体" w:hAnsi="宋体" w:cs="宋体"/>
                <w:color w:val="auto"/>
                <w:kern w:val="0"/>
                <w:sz w:val="21"/>
                <w:szCs w:val="21"/>
                <w:lang w:val="en-US" w:eastAsia="zh-CN"/>
              </w:rPr>
              <w:t>配</w:t>
            </w:r>
            <w:r>
              <w:rPr>
                <w:rFonts w:hint="eastAsia" w:ascii="宋体" w:hAnsi="宋体" w:eastAsia="宋体" w:cs="宋体"/>
                <w:color w:val="auto"/>
                <w:kern w:val="0"/>
                <w:sz w:val="21"/>
                <w:szCs w:val="21"/>
                <w:lang w:val="en-US" w:eastAsia="zh-CN"/>
              </w:rPr>
              <w:t>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01DFD504">
            <w:pPr>
              <w:widowControl/>
              <w:rPr>
                <w:rFonts w:hint="eastAsia" w:ascii="宋体" w:hAnsi="宋体" w:cs="宋体"/>
                <w:b/>
                <w:bCs/>
                <w:color w:val="auto"/>
                <w:kern w:val="0"/>
                <w:sz w:val="21"/>
                <w:szCs w:val="21"/>
                <w:highlight w:val="none"/>
              </w:rPr>
            </w:pPr>
          </w:p>
        </w:tc>
        <w:tc>
          <w:tcPr>
            <w:tcW w:w="2548" w:type="dxa"/>
            <w:vAlign w:val="center"/>
          </w:tcPr>
          <w:p w14:paraId="7B442F2A">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总监理工程师业绩（</w:t>
            </w:r>
            <w:r>
              <w:rPr>
                <w:rFonts w:hint="eastAsia" w:ascii="宋体" w:hAnsi="宋体" w:cs="宋体"/>
                <w:b/>
                <w:bCs/>
                <w:color w:val="auto"/>
                <w:kern w:val="0"/>
                <w:sz w:val="21"/>
                <w:szCs w:val="21"/>
                <w:highlight w:val="none"/>
                <w:lang w:val="en-US" w:eastAsia="zh-CN" w:bidi="ar-SA"/>
              </w:rPr>
              <w:t>2.0</w:t>
            </w:r>
            <w:r>
              <w:rPr>
                <w:rFonts w:hint="eastAsia" w:ascii="宋体" w:hAnsi="宋体" w:eastAsia="宋体" w:cs="宋体"/>
                <w:b/>
                <w:bCs/>
                <w:color w:val="auto"/>
                <w:kern w:val="0"/>
                <w:sz w:val="21"/>
                <w:szCs w:val="21"/>
                <w:highlight w:val="none"/>
                <w:lang w:val="en-US" w:eastAsia="zh-CN" w:bidi="ar-SA"/>
              </w:rPr>
              <w:t>分）</w:t>
            </w:r>
          </w:p>
        </w:tc>
        <w:tc>
          <w:tcPr>
            <w:tcW w:w="6061" w:type="dxa"/>
            <w:vAlign w:val="center"/>
          </w:tcPr>
          <w:p w14:paraId="790C6DB1">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总监理工程师近年（202</w:t>
            </w:r>
            <w:r>
              <w:rPr>
                <w:rFonts w:hint="eastAsia" w:ascii="宋体" w:hAnsi="宋体" w:cs="宋体"/>
                <w:color w:val="auto"/>
                <w:kern w:val="0"/>
                <w:sz w:val="21"/>
                <w:szCs w:val="21"/>
                <w:highlight w:val="none"/>
                <w:lang w:val="en-US" w:eastAsia="zh-CN" w:bidi="ar-SA"/>
              </w:rPr>
              <w:t>3</w:t>
            </w:r>
            <w:bookmarkStart w:id="0" w:name="_GoBack"/>
            <w:bookmarkEnd w:id="0"/>
            <w:r>
              <w:rPr>
                <w:rFonts w:hint="eastAsia" w:ascii="宋体" w:hAnsi="宋体" w:eastAsia="宋体" w:cs="宋体"/>
                <w:color w:val="auto"/>
                <w:kern w:val="0"/>
                <w:sz w:val="21"/>
                <w:szCs w:val="21"/>
                <w:highlight w:val="none"/>
                <w:lang w:val="en-US" w:eastAsia="zh-CN" w:bidi="ar-SA"/>
              </w:rPr>
              <w:t>年1月1日至今，以合同签订时间为准），每担任过1项建筑工程项目总监理工程师的，得</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分，最高得</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分。（投标文件需附合同</w:t>
            </w:r>
            <w:r>
              <w:rPr>
                <w:rFonts w:hint="eastAsia" w:ascii="宋体" w:hAnsi="宋体" w:cs="宋体"/>
                <w:color w:val="auto"/>
                <w:kern w:val="0"/>
                <w:sz w:val="21"/>
                <w:szCs w:val="21"/>
                <w:highlight w:val="none"/>
                <w:lang w:val="en-US" w:eastAsia="zh-CN" w:bidi="ar-SA"/>
              </w:rPr>
              <w:t>扫描件</w:t>
            </w:r>
            <w:r>
              <w:rPr>
                <w:rFonts w:hint="eastAsia" w:ascii="宋体" w:hAnsi="宋体" w:eastAsia="宋体" w:cs="宋体"/>
                <w:color w:val="auto"/>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 标</w:t>
            </w:r>
          </w:p>
          <w:p w14:paraId="7CDDABE4">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报 价</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30分</w:t>
            </w:r>
            <w:r>
              <w:rPr>
                <w:rFonts w:hint="eastAsia" w:ascii="宋体" w:hAnsi="宋体" w:cs="宋体"/>
                <w:b/>
                <w:bCs/>
                <w:color w:val="auto"/>
                <w:kern w:val="0"/>
                <w:sz w:val="21"/>
                <w:szCs w:val="21"/>
                <w:highlight w:val="none"/>
                <w:lang w:eastAsia="zh-CN"/>
              </w:rPr>
              <w:t>）</w:t>
            </w:r>
          </w:p>
        </w:tc>
        <w:tc>
          <w:tcPr>
            <w:tcW w:w="2548" w:type="dxa"/>
            <w:vAlign w:val="center"/>
          </w:tcPr>
          <w:p w14:paraId="55120FC7">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价格项评审因素得分＝（评标基准价/投标报价）</w:t>
            </w:r>
            <w:r>
              <w:rPr>
                <w:rFonts w:hint="default" w:ascii="宋体" w:hAnsi="宋体" w:eastAsia="宋体" w:cs="宋体"/>
                <w:color w:val="auto"/>
                <w:kern w:val="0"/>
                <w:sz w:val="21"/>
                <w:szCs w:val="21"/>
                <w:highlight w:val="none"/>
                <w:lang w:val="en-US" w:eastAsia="zh-CN" w:bidi="ar-SA"/>
              </w:rPr>
              <w:t>×100×</w:t>
            </w:r>
            <w:r>
              <w:rPr>
                <w:rFonts w:hint="eastAsia" w:ascii="宋体" w:hAnsi="宋体" w:eastAsia="宋体" w:cs="宋体"/>
                <w:color w:val="auto"/>
                <w:kern w:val="0"/>
                <w:sz w:val="21"/>
                <w:szCs w:val="21"/>
                <w:highlight w:val="none"/>
                <w:lang w:val="en-US" w:eastAsia="zh-CN" w:bidi="ar-SA"/>
              </w:rPr>
              <w:t>价格项评审因素所占的权重（30%） （注：满足比选文件要求且投标价格最低的投标报价为评标基准价。）</w:t>
            </w:r>
          </w:p>
        </w:tc>
      </w:tr>
    </w:tbl>
    <w:p w14:paraId="72AA6F46">
      <w:pPr>
        <w:rPr>
          <w:color w:val="auto"/>
        </w:rPr>
      </w:pPr>
    </w:p>
    <w:p w14:paraId="4E50FA49">
      <w:pPr>
        <w:widowControl/>
        <w:numPr>
          <w:ilvl w:val="0"/>
          <w:numId w:val="1"/>
        </w:numPr>
        <w:spacing w:line="360" w:lineRule="auto"/>
        <w:jc w:val="left"/>
        <w:rPr>
          <w:rFonts w:hint="eastAsia" w:ascii="宋体" w:hAnsi="宋体"/>
          <w:b/>
          <w:color w:val="auto"/>
          <w:sz w:val="24"/>
          <w:lang w:eastAsia="zh-CN"/>
        </w:rPr>
      </w:pPr>
      <w:r>
        <w:rPr>
          <w:rFonts w:hint="eastAsia" w:ascii="宋体" w:hAnsi="宋体"/>
          <w:b/>
          <w:color w:val="auto"/>
          <w:sz w:val="24"/>
          <w:lang w:eastAsia="zh-CN"/>
        </w:rPr>
        <w:t>详细评审后根据得分由高到低的顺序进行排序</w:t>
      </w:r>
    </w:p>
    <w:p w14:paraId="71C78A9F">
      <w:pPr>
        <w:widowControl/>
        <w:numPr>
          <w:ilvl w:val="0"/>
          <w:numId w:val="1"/>
        </w:numPr>
        <w:spacing w:line="360" w:lineRule="auto"/>
        <w:jc w:val="left"/>
        <w:rPr>
          <w:rFonts w:hint="eastAsia"/>
          <w:b/>
          <w:bCs/>
          <w:color w:val="auto"/>
          <w:sz w:val="24"/>
          <w:lang w:eastAsia="zh-CN"/>
        </w:rPr>
      </w:pPr>
      <w:r>
        <w:rPr>
          <w:rFonts w:hint="eastAsia" w:ascii="宋体" w:hAnsi="宋体"/>
          <w:b/>
          <w:color w:val="auto"/>
          <w:sz w:val="24"/>
          <w:lang w:eastAsia="zh-CN"/>
        </w:rPr>
        <w:t>根据排序，得分最高的比选投标人作为本项目比选中标人并与比选招标人签订合同。</w:t>
      </w:r>
    </w:p>
    <w:p w14:paraId="2FCF0A27">
      <w:pPr>
        <w:pStyle w:val="4"/>
        <w:rPr>
          <w:rFonts w:hint="eastAsia"/>
          <w:color w:val="auto"/>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710AF1"/>
    <w:rsid w:val="03EC5633"/>
    <w:rsid w:val="04CA7814"/>
    <w:rsid w:val="04E47A17"/>
    <w:rsid w:val="05A9018D"/>
    <w:rsid w:val="05D43B35"/>
    <w:rsid w:val="06AF1515"/>
    <w:rsid w:val="07472E25"/>
    <w:rsid w:val="07DF4970"/>
    <w:rsid w:val="07EA73C5"/>
    <w:rsid w:val="086752B3"/>
    <w:rsid w:val="0872235B"/>
    <w:rsid w:val="08D4742C"/>
    <w:rsid w:val="09245E8F"/>
    <w:rsid w:val="0A2B151B"/>
    <w:rsid w:val="0AE66B09"/>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50E7CBD"/>
    <w:rsid w:val="45967968"/>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CF45A40"/>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3408</Words>
  <Characters>3610</Characters>
  <Lines>38</Lines>
  <Paragraphs>10</Paragraphs>
  <TotalTime>1</TotalTime>
  <ScaleCrop>false</ScaleCrop>
  <LinksUpToDate>false</LinksUpToDate>
  <CharactersWithSpaces>3633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2025-06-26T06:22:24Z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