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4DACD">
      <w:pPr>
        <w:spacing w:line="360" w:lineRule="auto"/>
        <w:jc w:val="left"/>
        <w:rPr>
          <w:rFonts w:hint="eastAsia" w:ascii="宋体" w:hAnsi="宋体"/>
          <w:b/>
          <w:sz w:val="24"/>
          <w:lang w:val="en-US" w:eastAsia="zh-CN"/>
        </w:rPr>
      </w:pPr>
      <w:r>
        <w:rPr>
          <w:rFonts w:hint="eastAsia"/>
          <w:b/>
          <w:bCs/>
          <w:sz w:val="24"/>
          <w:lang w:eastAsia="zh-CN"/>
        </w:rPr>
        <w:t>附件一</w:t>
      </w:r>
      <w:r>
        <w:rPr>
          <w:rFonts w:hint="eastAsia"/>
          <w:b/>
          <w:bCs/>
          <w:sz w:val="24"/>
          <w:lang w:val="en-US" w:eastAsia="zh-CN"/>
        </w:rPr>
        <w:t xml:space="preserve"> 、投标</w:t>
      </w:r>
      <w:r>
        <w:rPr>
          <w:rFonts w:hint="eastAsia" w:ascii="宋体" w:hAnsi="宋体"/>
          <w:b/>
          <w:sz w:val="24"/>
          <w:lang w:val="en-US" w:eastAsia="zh-CN"/>
        </w:rPr>
        <w:t>比选办法</w:t>
      </w:r>
    </w:p>
    <w:p w14:paraId="7E6C7379">
      <w:pPr>
        <w:widowControl/>
        <w:jc w:val="left"/>
        <w:rPr>
          <w:rFonts w:hint="eastAsia"/>
          <w:b/>
          <w:bCs/>
          <w:sz w:val="24"/>
          <w:lang w:eastAsia="zh-CN"/>
        </w:rPr>
      </w:pPr>
    </w:p>
    <w:p w14:paraId="3648568B">
      <w:pPr>
        <w:widowControl/>
        <w:ind w:firstLine="4498" w:firstLineChars="1400"/>
        <w:jc w:val="left"/>
        <w:rPr>
          <w:rFonts w:hint="eastAsia"/>
          <w:b/>
          <w:bCs/>
          <w:sz w:val="32"/>
          <w:szCs w:val="32"/>
        </w:rPr>
      </w:pPr>
      <w:r>
        <w:rPr>
          <w:rFonts w:hint="eastAsia"/>
          <w:b/>
          <w:bCs/>
          <w:sz w:val="32"/>
          <w:szCs w:val="32"/>
          <w:lang w:eastAsia="zh-CN"/>
        </w:rPr>
        <w:t>比选</w:t>
      </w:r>
      <w:r>
        <w:rPr>
          <w:rFonts w:hint="eastAsia"/>
          <w:b/>
          <w:bCs/>
          <w:sz w:val="32"/>
          <w:szCs w:val="32"/>
        </w:rPr>
        <w:t>办法</w:t>
      </w:r>
    </w:p>
    <w:p w14:paraId="7014F204">
      <w:pPr>
        <w:widowControl/>
        <w:spacing w:line="360" w:lineRule="auto"/>
        <w:jc w:val="left"/>
        <w:rPr>
          <w:b/>
          <w:bCs/>
          <w:sz w:val="24"/>
        </w:rPr>
      </w:pPr>
      <w:r>
        <w:rPr>
          <w:rFonts w:hint="eastAsia"/>
          <w:b/>
          <w:bCs/>
          <w:sz w:val="24"/>
        </w:rPr>
        <w:t>一、公开所有投标</w:t>
      </w:r>
      <w:r>
        <w:rPr>
          <w:rFonts w:hint="eastAsia"/>
          <w:b/>
          <w:bCs/>
          <w:sz w:val="24"/>
          <w:lang w:eastAsia="zh-CN"/>
        </w:rPr>
        <w:t>人</w:t>
      </w:r>
      <w:r>
        <w:rPr>
          <w:rFonts w:hint="eastAsia"/>
          <w:b/>
          <w:bCs/>
          <w:sz w:val="24"/>
        </w:rPr>
        <w:t>的主要信息</w:t>
      </w:r>
    </w:p>
    <w:p w14:paraId="40F79020">
      <w:pPr>
        <w:spacing w:line="360" w:lineRule="auto"/>
        <w:rPr>
          <w:b/>
          <w:bCs/>
          <w:sz w:val="24"/>
        </w:rPr>
      </w:pPr>
      <w:r>
        <w:rPr>
          <w:rFonts w:hint="eastAsia"/>
          <w:b/>
          <w:bCs/>
          <w:sz w:val="24"/>
        </w:rPr>
        <w:t>二、所有投标</w:t>
      </w:r>
      <w:r>
        <w:rPr>
          <w:rFonts w:hint="eastAsia"/>
          <w:b/>
          <w:bCs/>
          <w:sz w:val="24"/>
          <w:lang w:eastAsia="zh-CN"/>
        </w:rPr>
        <w:t>人</w:t>
      </w:r>
      <w:r>
        <w:rPr>
          <w:rFonts w:hint="eastAsia"/>
          <w:b/>
          <w:bCs/>
          <w:sz w:val="24"/>
        </w:rPr>
        <w:t>进行</w:t>
      </w:r>
      <w:r>
        <w:rPr>
          <w:rFonts w:hint="eastAsia"/>
          <w:b/>
          <w:bCs/>
          <w:sz w:val="24"/>
          <w:lang w:eastAsia="zh-CN"/>
        </w:rPr>
        <w:t>资格性、</w:t>
      </w:r>
      <w:r>
        <w:rPr>
          <w:rFonts w:hint="eastAsia"/>
          <w:b/>
          <w:bCs/>
          <w:sz w:val="24"/>
        </w:rPr>
        <w:t>符合性审查</w:t>
      </w:r>
    </w:p>
    <w:tbl>
      <w:tblPr>
        <w:tblStyle w:val="11"/>
        <w:tblW w:w="10080" w:type="dxa"/>
        <w:tblInd w:w="93" w:type="dxa"/>
        <w:tblLayout w:type="fixed"/>
        <w:tblCellMar>
          <w:top w:w="0" w:type="dxa"/>
          <w:left w:w="108" w:type="dxa"/>
          <w:bottom w:w="0" w:type="dxa"/>
          <w:right w:w="108" w:type="dxa"/>
        </w:tblCellMar>
      </w:tblPr>
      <w:tblGrid>
        <w:gridCol w:w="1080"/>
        <w:gridCol w:w="2440"/>
        <w:gridCol w:w="6560"/>
      </w:tblGrid>
      <w:tr w14:paraId="07EC4112">
        <w:tblPrEx>
          <w:tblCellMar>
            <w:top w:w="0" w:type="dxa"/>
            <w:left w:w="108" w:type="dxa"/>
            <w:bottom w:w="0" w:type="dxa"/>
            <w:right w:w="108" w:type="dxa"/>
          </w:tblCellMar>
        </w:tblPrEx>
        <w:trPr>
          <w:trHeight w:val="435"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ACB574C">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评审内容</w:t>
            </w:r>
          </w:p>
        </w:tc>
        <w:tc>
          <w:tcPr>
            <w:tcW w:w="2440" w:type="dxa"/>
            <w:tcBorders>
              <w:top w:val="single" w:color="auto" w:sz="4" w:space="0"/>
              <w:left w:val="nil"/>
              <w:bottom w:val="single" w:color="auto" w:sz="4" w:space="0"/>
              <w:right w:val="single" w:color="auto" w:sz="4" w:space="0"/>
            </w:tcBorders>
            <w:shd w:val="clear" w:color="auto" w:fill="auto"/>
            <w:vAlign w:val="center"/>
          </w:tcPr>
          <w:p w14:paraId="650E3EDA">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评审因素</w:t>
            </w:r>
          </w:p>
        </w:tc>
        <w:tc>
          <w:tcPr>
            <w:tcW w:w="6560" w:type="dxa"/>
            <w:tcBorders>
              <w:top w:val="single" w:color="auto" w:sz="4" w:space="0"/>
              <w:left w:val="nil"/>
              <w:bottom w:val="single" w:color="auto" w:sz="4" w:space="0"/>
              <w:right w:val="single" w:color="auto" w:sz="4" w:space="0"/>
            </w:tcBorders>
            <w:shd w:val="clear" w:color="auto" w:fill="auto"/>
            <w:vAlign w:val="center"/>
          </w:tcPr>
          <w:p w14:paraId="33D26368">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评审标准</w:t>
            </w:r>
          </w:p>
        </w:tc>
      </w:tr>
      <w:tr w14:paraId="203F45C6">
        <w:tblPrEx>
          <w:tblCellMar>
            <w:top w:w="0" w:type="dxa"/>
            <w:left w:w="108" w:type="dxa"/>
            <w:bottom w:w="0" w:type="dxa"/>
            <w:right w:w="108" w:type="dxa"/>
          </w:tblCellMar>
        </w:tblPrEx>
        <w:trPr>
          <w:trHeight w:val="647"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A9E189">
            <w:pPr>
              <w:widowControl/>
              <w:jc w:val="center"/>
              <w:rPr>
                <w:rFonts w:ascii="宋体" w:hAnsi="宋体" w:cs="宋体"/>
                <w:b/>
                <w:bCs/>
                <w:color w:val="auto"/>
                <w:kern w:val="0"/>
                <w:sz w:val="21"/>
                <w:szCs w:val="21"/>
              </w:rPr>
            </w:pPr>
            <w:r>
              <w:rPr>
                <w:rFonts w:hint="eastAsia" w:ascii="宋体" w:hAnsi="宋体" w:cs="宋体"/>
                <w:b/>
                <w:bCs/>
                <w:color w:val="auto"/>
                <w:kern w:val="0"/>
                <w:sz w:val="21"/>
                <w:szCs w:val="21"/>
              </w:rPr>
              <w:t>资格评审标准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0A24ADA">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营业执照要求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31424E8">
            <w:pPr>
              <w:widowControl/>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lang w:val="en-US" w:eastAsia="zh-CN"/>
              </w:rPr>
              <w:t>投标方具备有效的营业执照</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投标</w:t>
            </w:r>
            <w:r>
              <w:rPr>
                <w:rFonts w:hint="default" w:ascii="宋体" w:hAnsi="宋体" w:eastAsia="宋体" w:cs="宋体"/>
                <w:color w:val="auto"/>
                <w:kern w:val="0"/>
                <w:sz w:val="21"/>
                <w:szCs w:val="21"/>
                <w:lang w:val="en-US" w:eastAsia="zh-CN"/>
              </w:rPr>
              <w:t>文件</w:t>
            </w:r>
            <w:r>
              <w:rPr>
                <w:rFonts w:hint="eastAsia" w:ascii="宋体" w:hAnsi="宋体" w:eastAsia="宋体" w:cs="宋体"/>
                <w:color w:val="auto"/>
                <w:kern w:val="0"/>
                <w:sz w:val="21"/>
                <w:szCs w:val="21"/>
                <w:lang w:val="en-US" w:eastAsia="zh-CN"/>
              </w:rPr>
              <w:t>需</w:t>
            </w:r>
            <w:r>
              <w:rPr>
                <w:rFonts w:hint="default" w:ascii="宋体" w:hAnsi="宋体" w:eastAsia="宋体" w:cs="宋体"/>
                <w:color w:val="auto"/>
                <w:kern w:val="0"/>
                <w:sz w:val="21"/>
                <w:szCs w:val="21"/>
                <w:lang w:val="en-US" w:eastAsia="zh-CN"/>
              </w:rPr>
              <w:t>附</w:t>
            </w:r>
            <w:r>
              <w:rPr>
                <w:rFonts w:hint="eastAsia" w:ascii="宋体" w:hAnsi="宋体" w:eastAsia="宋体" w:cs="宋体"/>
                <w:color w:val="auto"/>
                <w:kern w:val="0"/>
                <w:sz w:val="21"/>
                <w:szCs w:val="21"/>
                <w:lang w:val="en-US" w:eastAsia="zh-CN"/>
              </w:rPr>
              <w:t>营业执照复印件</w:t>
            </w:r>
            <w:r>
              <w:rPr>
                <w:rFonts w:hint="default" w:ascii="宋体" w:hAnsi="宋体" w:eastAsia="宋体" w:cs="宋体"/>
                <w:color w:val="auto"/>
                <w:kern w:val="0"/>
                <w:sz w:val="21"/>
                <w:szCs w:val="21"/>
                <w:lang w:val="en-US" w:eastAsia="zh-CN"/>
              </w:rPr>
              <w:t>）</w:t>
            </w:r>
            <w:r>
              <w:rPr>
                <w:rFonts w:hint="eastAsia" w:ascii="宋体" w:hAnsi="宋体" w:eastAsia="宋体" w:cs="宋体"/>
                <w:color w:val="auto"/>
                <w:kern w:val="0"/>
                <w:sz w:val="21"/>
                <w:szCs w:val="21"/>
                <w:lang w:val="en-US" w:eastAsia="zh-CN"/>
              </w:rPr>
              <w:t>。</w:t>
            </w:r>
          </w:p>
        </w:tc>
      </w:tr>
      <w:tr w14:paraId="1DD18FC4">
        <w:tblPrEx>
          <w:tblCellMar>
            <w:top w:w="0" w:type="dxa"/>
            <w:left w:w="108" w:type="dxa"/>
            <w:bottom w:w="0" w:type="dxa"/>
            <w:right w:w="108" w:type="dxa"/>
          </w:tblCellMar>
        </w:tblPrEx>
        <w:trPr>
          <w:trHeight w:val="7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817475">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0423887D">
            <w:pPr>
              <w:widowControl/>
              <w:ind w:firstLine="632" w:firstLineChars="300"/>
              <w:rPr>
                <w:rFonts w:hint="eastAsia" w:ascii="宋体" w:hAnsi="宋体" w:eastAsia="宋体" w:cs="宋体"/>
                <w:color w:val="auto"/>
                <w:kern w:val="0"/>
                <w:sz w:val="21"/>
                <w:szCs w:val="21"/>
                <w:lang w:val="en-US" w:eastAsia="zh-CN"/>
              </w:rPr>
            </w:pPr>
            <w:r>
              <w:rPr>
                <w:rFonts w:hint="eastAsia" w:ascii="宋体" w:hAnsi="宋体" w:eastAsia="宋体" w:cs="宋体"/>
                <w:b/>
                <w:bCs/>
                <w:color w:val="auto"/>
                <w:kern w:val="0"/>
                <w:sz w:val="21"/>
                <w:szCs w:val="21"/>
                <w:highlight w:val="none"/>
                <w:lang w:val="en-US" w:eastAsia="zh-CN"/>
              </w:rPr>
              <w:t>资质要求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63AE0297">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投标人须具备建设行政主管部门颁发的工程勘察综合类甲级资质或工程勘察专业类（岩土工程（勘察））乙级资质（含）以上（投标文件须附资质证书复印件）</w:t>
            </w:r>
          </w:p>
        </w:tc>
      </w:tr>
      <w:tr w14:paraId="23EF857E">
        <w:tblPrEx>
          <w:tblCellMar>
            <w:top w:w="0" w:type="dxa"/>
            <w:left w:w="108" w:type="dxa"/>
            <w:bottom w:w="0" w:type="dxa"/>
            <w:right w:w="108" w:type="dxa"/>
          </w:tblCellMar>
        </w:tblPrEx>
        <w:trPr>
          <w:trHeight w:val="3397"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9E62312">
            <w:pPr>
              <w:widowControl/>
              <w:jc w:val="center"/>
              <w:rPr>
                <w:rFonts w:hint="eastAsia"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4809CA5F">
            <w:pPr>
              <w:widowControl/>
              <w:jc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信誉要求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706065">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（1）投标人不得存在下列情形之一： </w:t>
            </w:r>
          </w:p>
          <w:p w14:paraId="509CB484">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①正处于被责令停业，投标资格被暂停或取消</w:t>
            </w:r>
            <w:r>
              <w:rPr>
                <w:rFonts w:hint="eastAsia" w:ascii="宋体" w:hAnsi="宋体" w:cs="宋体"/>
                <w:color w:val="auto"/>
                <w:kern w:val="0"/>
                <w:sz w:val="21"/>
                <w:szCs w:val="21"/>
                <w:lang w:val="en-US" w:eastAsia="zh-CN"/>
              </w:rPr>
              <w:t>；</w:t>
            </w:r>
          </w:p>
          <w:p w14:paraId="1F4447C3">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②近年（202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年1月1日至今）内有骗取中标和严重违约及</w:t>
            </w:r>
            <w:r>
              <w:rPr>
                <w:rFonts w:hint="eastAsia"/>
                <w:color w:val="auto"/>
                <w:highlight w:val="none"/>
                <w:lang w:eastAsia="zh-CN"/>
              </w:rPr>
              <w:t>重大工程质量问题</w:t>
            </w:r>
            <w:r>
              <w:rPr>
                <w:rFonts w:hint="eastAsia" w:ascii="宋体" w:hAnsi="宋体" w:eastAsia="宋体" w:cs="宋体"/>
                <w:color w:val="auto"/>
                <w:kern w:val="0"/>
                <w:sz w:val="21"/>
                <w:szCs w:val="21"/>
                <w:lang w:val="en-US" w:eastAsia="zh-CN"/>
              </w:rPr>
              <w:t>；（投标文件需附相关承诺书并加盖公章，格式详见比选文件中投标文件格式；新注册企业提供从公司</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年度至今的承诺书）。</w:t>
            </w:r>
          </w:p>
          <w:p w14:paraId="7C23ED7A">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 xml:space="preserve">（2）在“信用中国”网站（http://www.creditchina.gov.cn/）或“中国执行信息公开网（http://zxgk.court.gov.cn/shixin/）”中未被列入“失信被执行人名单”，（投标文件须附网页查询结果截图）。 </w:t>
            </w:r>
          </w:p>
          <w:p w14:paraId="1580D435">
            <w:pPr>
              <w:widowControl/>
              <w:rPr>
                <w:rFonts w:hint="eastAsia" w:ascii="宋体" w:hAnsi="宋体" w:cs="宋体"/>
                <w:color w:val="auto"/>
                <w:kern w:val="0"/>
                <w:sz w:val="21"/>
                <w:szCs w:val="21"/>
                <w:highlight w:val="yellow"/>
              </w:rPr>
            </w:pPr>
            <w:r>
              <w:rPr>
                <w:rFonts w:hint="eastAsia" w:ascii="宋体" w:hAnsi="宋体" w:eastAsia="宋体" w:cs="宋体"/>
                <w:color w:val="auto"/>
                <w:kern w:val="0"/>
                <w:sz w:val="21"/>
                <w:szCs w:val="21"/>
                <w:lang w:val="en-US" w:eastAsia="zh-CN"/>
              </w:rPr>
              <w:t>（3）在“国家企业信用信息公示系统”（http://www.gsxt.gov.cn/）中未被列入“严重违法失信企业名单”。（投标文件需附网页查询结果截图）</w:t>
            </w:r>
            <w:r>
              <w:rPr>
                <w:rFonts w:hint="eastAsia" w:ascii="宋体" w:hAnsi="宋体" w:cs="宋体"/>
                <w:color w:val="auto"/>
                <w:kern w:val="0"/>
                <w:sz w:val="21"/>
                <w:szCs w:val="21"/>
                <w:lang w:val="en-US" w:eastAsia="zh-CN"/>
              </w:rPr>
              <w:t>。</w:t>
            </w:r>
          </w:p>
        </w:tc>
      </w:tr>
      <w:tr w14:paraId="726B88D6">
        <w:tblPrEx>
          <w:tblCellMar>
            <w:top w:w="0" w:type="dxa"/>
            <w:left w:w="108" w:type="dxa"/>
            <w:bottom w:w="0" w:type="dxa"/>
            <w:right w:w="108" w:type="dxa"/>
          </w:tblCellMar>
        </w:tblPrEx>
        <w:trPr>
          <w:trHeight w:val="119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76ED43">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55D946B9">
            <w:pPr>
              <w:widowControl/>
              <w:jc w:val="center"/>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lang w:val="en-US" w:eastAsia="zh-CN"/>
              </w:rPr>
              <w:t>财务要求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65E57A2">
            <w:pPr>
              <w:widowControl/>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近年（202</w:t>
            </w: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年1月1日至今）财务状况良好，没有处于财产被接管、破产或其他关、停、并、转状态（投标文件需附相关承诺并加盖公章，新</w:t>
            </w:r>
            <w:r>
              <w:rPr>
                <w:rFonts w:hint="eastAsia" w:ascii="宋体" w:hAnsi="宋体" w:cs="宋体"/>
                <w:color w:val="auto"/>
                <w:kern w:val="0"/>
                <w:sz w:val="21"/>
                <w:szCs w:val="21"/>
                <w:lang w:val="en-US" w:eastAsia="zh-CN"/>
              </w:rPr>
              <w:t>注册</w:t>
            </w:r>
            <w:r>
              <w:rPr>
                <w:rFonts w:hint="eastAsia" w:ascii="宋体" w:hAnsi="宋体" w:eastAsia="宋体" w:cs="宋体"/>
                <w:color w:val="auto"/>
                <w:kern w:val="0"/>
                <w:sz w:val="21"/>
                <w:szCs w:val="21"/>
                <w:lang w:val="en-US" w:eastAsia="zh-CN"/>
              </w:rPr>
              <w:t>的企业，需提供</w:t>
            </w:r>
            <w:r>
              <w:rPr>
                <w:rFonts w:hint="eastAsia" w:ascii="宋体" w:hAnsi="宋体" w:cs="宋体"/>
                <w:color w:val="auto"/>
                <w:kern w:val="0"/>
                <w:sz w:val="21"/>
                <w:szCs w:val="21"/>
                <w:lang w:val="en-US" w:eastAsia="zh-CN"/>
              </w:rPr>
              <w:t>注册年度</w:t>
            </w:r>
            <w:r>
              <w:rPr>
                <w:rFonts w:hint="eastAsia" w:ascii="宋体" w:hAnsi="宋体" w:eastAsia="宋体" w:cs="宋体"/>
                <w:color w:val="auto"/>
                <w:kern w:val="0"/>
                <w:sz w:val="21"/>
                <w:szCs w:val="21"/>
                <w:lang w:val="en-US" w:eastAsia="zh-CN"/>
              </w:rPr>
              <w:t>至今的承诺书，格式详见比选文件中投标文件格式）</w:t>
            </w:r>
            <w:r>
              <w:rPr>
                <w:rFonts w:hint="eastAsia" w:ascii="宋体" w:hAnsi="宋体" w:cs="宋体"/>
                <w:color w:val="auto"/>
                <w:kern w:val="0"/>
                <w:sz w:val="21"/>
                <w:szCs w:val="21"/>
                <w:lang w:val="en-US" w:eastAsia="zh-CN"/>
              </w:rPr>
              <w:t>。</w:t>
            </w:r>
          </w:p>
        </w:tc>
      </w:tr>
      <w:tr w14:paraId="37A42A92">
        <w:tblPrEx>
          <w:tblCellMar>
            <w:top w:w="0" w:type="dxa"/>
            <w:left w:w="108" w:type="dxa"/>
            <w:bottom w:w="0" w:type="dxa"/>
            <w:right w:w="108" w:type="dxa"/>
          </w:tblCellMar>
        </w:tblPrEx>
        <w:trPr>
          <w:trHeight w:val="718"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8DB9687">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75ECEE14">
            <w:pPr>
              <w:widowControl/>
              <w:jc w:val="center"/>
              <w:rPr>
                <w:rFonts w:hint="default" w:ascii="宋体" w:hAnsi="宋体" w:cs="宋体"/>
                <w:b/>
                <w:bCs/>
                <w:color w:val="auto"/>
                <w:kern w:val="0"/>
                <w:sz w:val="21"/>
                <w:szCs w:val="21"/>
                <w:lang w:val="en-US"/>
              </w:rPr>
            </w:pPr>
            <w:r>
              <w:rPr>
                <w:rFonts w:hint="eastAsia" w:ascii="宋体" w:hAnsi="宋体" w:cs="宋体"/>
                <w:b/>
                <w:bCs/>
                <w:color w:val="auto"/>
                <w:kern w:val="0"/>
                <w:sz w:val="21"/>
                <w:szCs w:val="21"/>
                <w:lang w:val="en-US" w:eastAsia="zh-CN"/>
              </w:rPr>
              <w:t>项目负责人</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0FB8D18E">
            <w:pPr>
              <w:widowControl/>
              <w:rPr>
                <w:rFonts w:hint="eastAsia" w:ascii="宋体" w:hAnsi="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拟派项目负责人须具备注册岩土工程师职业资格，必须在本公司注册，且在有效期内（投标文件须附资格证和注册证书复印件）</w:t>
            </w:r>
          </w:p>
        </w:tc>
      </w:tr>
      <w:tr w14:paraId="0E0FB83C">
        <w:tblPrEx>
          <w:tblCellMar>
            <w:top w:w="0" w:type="dxa"/>
            <w:left w:w="108" w:type="dxa"/>
            <w:bottom w:w="0" w:type="dxa"/>
            <w:right w:w="108" w:type="dxa"/>
          </w:tblCellMar>
        </w:tblPrEx>
        <w:trPr>
          <w:trHeight w:val="412"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2BA342">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F78145D">
            <w:pPr>
              <w:widowControl/>
              <w:jc w:val="center"/>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其他人员要求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4E07DE0">
            <w:pPr>
              <w:widowControl/>
              <w:rPr>
                <w:rFonts w:hint="default"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w:t>
            </w:r>
          </w:p>
        </w:tc>
      </w:tr>
      <w:tr w14:paraId="6D8D4C1E">
        <w:tblPrEx>
          <w:tblCellMar>
            <w:top w:w="0" w:type="dxa"/>
            <w:left w:w="108" w:type="dxa"/>
            <w:bottom w:w="0" w:type="dxa"/>
            <w:right w:w="108" w:type="dxa"/>
          </w:tblCellMar>
        </w:tblPrEx>
        <w:trPr>
          <w:trHeight w:val="680"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D8E93F8">
            <w:pPr>
              <w:widowControl/>
              <w:jc w:val="center"/>
              <w:rPr>
                <w:rFonts w:ascii="宋体" w:hAnsi="宋体" w:cs="宋体"/>
                <w:b/>
                <w:bCs/>
                <w:color w:val="auto"/>
                <w:kern w:val="0"/>
                <w:sz w:val="21"/>
                <w:szCs w:val="21"/>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24668832">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社保要求</w:t>
            </w:r>
          </w:p>
        </w:tc>
        <w:tc>
          <w:tcPr>
            <w:tcW w:w="6560" w:type="dxa"/>
            <w:tcBorders>
              <w:top w:val="single" w:color="auto" w:sz="4" w:space="0"/>
              <w:left w:val="single" w:color="auto" w:sz="4" w:space="0"/>
              <w:bottom w:val="single" w:color="auto" w:sz="4" w:space="0"/>
              <w:right w:val="single" w:color="auto" w:sz="4" w:space="0"/>
            </w:tcBorders>
            <w:shd w:val="clear" w:color="auto" w:fill="auto"/>
            <w:vAlign w:val="center"/>
          </w:tcPr>
          <w:p w14:paraId="1A869B3C">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firstLine="0" w:firstLineChars="0"/>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以上所有</w:t>
            </w:r>
            <w:r>
              <w:rPr>
                <w:rFonts w:hint="eastAsia" w:ascii="宋体" w:hAnsi="宋体" w:cs="宋体"/>
                <w:color w:val="auto"/>
                <w:kern w:val="0"/>
                <w:sz w:val="21"/>
                <w:szCs w:val="21"/>
                <w:lang w:val="en-US" w:eastAsia="zh-CN"/>
              </w:rPr>
              <w:t>配备</w:t>
            </w:r>
            <w:r>
              <w:rPr>
                <w:rFonts w:hint="eastAsia" w:ascii="宋体" w:hAnsi="宋体" w:eastAsia="宋体" w:cs="宋体"/>
                <w:color w:val="auto"/>
                <w:kern w:val="0"/>
                <w:sz w:val="21"/>
                <w:szCs w:val="21"/>
                <w:lang w:val="en-US" w:eastAsia="zh-CN"/>
              </w:rPr>
              <w:t>人员（项目负责人及其他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w:t>
            </w:r>
            <w:r>
              <w:rPr>
                <w:rFonts w:hint="eastAsia" w:ascii="宋体" w:hAnsi="宋体" w:cs="宋体"/>
                <w:color w:val="auto"/>
                <w:kern w:val="0"/>
                <w:sz w:val="21"/>
                <w:szCs w:val="21"/>
                <w:lang w:val="en-US" w:eastAsia="zh-CN"/>
              </w:rPr>
              <w:t>相关证明资料</w:t>
            </w:r>
            <w:r>
              <w:rPr>
                <w:rFonts w:hint="eastAsia" w:ascii="宋体" w:hAnsi="宋体" w:eastAsia="宋体" w:cs="宋体"/>
                <w:color w:val="auto"/>
                <w:kern w:val="0"/>
                <w:sz w:val="21"/>
                <w:szCs w:val="21"/>
                <w:lang w:val="en-US" w:eastAsia="zh-CN"/>
              </w:rPr>
              <w:t>复印件）</w:t>
            </w:r>
            <w:r>
              <w:rPr>
                <w:rFonts w:hint="eastAsia" w:ascii="宋体" w:hAnsi="宋体" w:cs="宋体"/>
                <w:color w:val="auto"/>
                <w:kern w:val="0"/>
                <w:sz w:val="21"/>
                <w:szCs w:val="21"/>
                <w:lang w:val="en-US" w:eastAsia="zh-CN"/>
              </w:rPr>
              <w:t>。</w:t>
            </w:r>
          </w:p>
        </w:tc>
      </w:tr>
      <w:tr w14:paraId="0479EF00">
        <w:tblPrEx>
          <w:tblCellMar>
            <w:top w:w="0" w:type="dxa"/>
            <w:left w:w="108" w:type="dxa"/>
            <w:bottom w:w="0" w:type="dxa"/>
            <w:right w:w="108" w:type="dxa"/>
          </w:tblCellMar>
        </w:tblPrEx>
        <w:trPr>
          <w:trHeight w:val="839"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43ED8318">
            <w:pPr>
              <w:widowControl/>
              <w:jc w:val="center"/>
              <w:rPr>
                <w:rFonts w:ascii="宋体" w:hAnsi="宋体" w:cs="宋体"/>
                <w:b/>
                <w:bCs/>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4FB0E797">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业绩要求</w:t>
            </w:r>
          </w:p>
        </w:tc>
        <w:tc>
          <w:tcPr>
            <w:tcW w:w="6560" w:type="dxa"/>
            <w:tcBorders>
              <w:top w:val="single" w:color="auto" w:sz="4" w:space="0"/>
              <w:left w:val="nil"/>
              <w:bottom w:val="single" w:color="auto" w:sz="4" w:space="0"/>
              <w:right w:val="single" w:color="auto" w:sz="4" w:space="0"/>
            </w:tcBorders>
            <w:shd w:val="clear" w:color="auto" w:fill="auto"/>
            <w:vAlign w:val="center"/>
          </w:tcPr>
          <w:p w14:paraId="23DC5229">
            <w:pPr>
              <w:keepNext w:val="0"/>
              <w:keepLines w:val="0"/>
              <w:pageBreakBefore w:val="0"/>
              <w:widowControl/>
              <w:numPr>
                <w:ilvl w:val="0"/>
                <w:numId w:val="0"/>
              </w:numPr>
              <w:kinsoku/>
              <w:wordWrap/>
              <w:overflowPunct/>
              <w:topLinePunct w:val="0"/>
              <w:autoSpaceDE/>
              <w:autoSpaceDN/>
              <w:bidi w:val="0"/>
              <w:adjustRightInd/>
              <w:snapToGrid/>
              <w:spacing w:line="240" w:lineRule="auto"/>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 xml:space="preserve">2022年1月1日至今，至少提供3项类似业绩（以合同签订时间为准，投标文件需附合同复印件）。 </w:t>
            </w:r>
          </w:p>
        </w:tc>
      </w:tr>
      <w:tr w14:paraId="5EAEF39C">
        <w:tblPrEx>
          <w:tblCellMar>
            <w:top w:w="0" w:type="dxa"/>
            <w:left w:w="108" w:type="dxa"/>
            <w:bottom w:w="0" w:type="dxa"/>
            <w:right w:w="108" w:type="dxa"/>
          </w:tblCellMar>
        </w:tblPrEx>
        <w:trPr>
          <w:trHeight w:val="1750" w:hRule="atLeast"/>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3A41752">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lang w:eastAsia="zh-CN"/>
              </w:rPr>
              <w:t>符合性</w:t>
            </w:r>
            <w:r>
              <w:rPr>
                <w:rFonts w:hint="eastAsia" w:ascii="宋体" w:hAnsi="宋体" w:cs="宋体"/>
                <w:b/>
                <w:bCs/>
                <w:color w:val="auto"/>
                <w:kern w:val="0"/>
                <w:sz w:val="21"/>
                <w:szCs w:val="21"/>
              </w:rPr>
              <w:t>评审标准</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337EE14F">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highlight w:val="none"/>
              </w:rPr>
              <w:t>投标文件规范性</w:t>
            </w:r>
            <w:r>
              <w:rPr>
                <w:rFonts w:hint="eastAsia" w:ascii="宋体" w:hAnsi="宋体" w:cs="宋体"/>
                <w:b/>
                <w:bCs/>
                <w:color w:val="auto"/>
                <w:kern w:val="0"/>
                <w:sz w:val="21"/>
                <w:szCs w:val="21"/>
                <w:highlight w:val="none"/>
                <w:lang w:eastAsia="zh-CN"/>
              </w:rPr>
              <w:t>、符合性</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97D130B">
            <w:pPr>
              <w:widowControl/>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投标文件应采用胶粘方式左侧装订，不得采用活页</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夹等可随时拆换的方式装订，不得有零散页</w:t>
            </w:r>
            <w:r>
              <w:rPr>
                <w:rFonts w:hint="eastAsia" w:ascii="宋体" w:hAnsi="宋体" w:cs="宋体"/>
                <w:color w:val="auto"/>
                <w:kern w:val="0"/>
                <w:sz w:val="21"/>
                <w:szCs w:val="21"/>
                <w:highlight w:val="none"/>
                <w:lang w:eastAsia="zh-CN"/>
              </w:rPr>
              <w:t>；</w:t>
            </w:r>
          </w:p>
          <w:p w14:paraId="774BF015">
            <w:pPr>
              <w:widowControl/>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eastAsia="zh-CN"/>
              </w:rPr>
              <w:t>投标文件</w:t>
            </w:r>
            <w:r>
              <w:rPr>
                <w:rFonts w:hint="eastAsia" w:ascii="宋体" w:hAnsi="宋体" w:cs="宋体"/>
                <w:color w:val="auto"/>
                <w:kern w:val="0"/>
                <w:sz w:val="21"/>
                <w:szCs w:val="21"/>
                <w:highlight w:val="none"/>
              </w:rPr>
              <w:t>的签署、盖章、涂改、删除、插字、公章使用等符合</w:t>
            </w:r>
            <w:r>
              <w:rPr>
                <w:rFonts w:hint="eastAsia" w:ascii="宋体" w:hAnsi="宋体" w:cs="宋体"/>
                <w:color w:val="auto"/>
                <w:kern w:val="0"/>
                <w:sz w:val="21"/>
                <w:szCs w:val="21"/>
                <w:highlight w:val="none"/>
                <w:lang w:eastAsia="zh-CN"/>
              </w:rPr>
              <w:t>比选文件</w:t>
            </w:r>
            <w:r>
              <w:rPr>
                <w:rFonts w:hint="eastAsia" w:ascii="宋体" w:hAnsi="宋体" w:cs="宋体"/>
                <w:color w:val="auto"/>
                <w:kern w:val="0"/>
                <w:sz w:val="21"/>
                <w:szCs w:val="21"/>
                <w:highlight w:val="none"/>
              </w:rPr>
              <w:t>要求；</w:t>
            </w:r>
          </w:p>
          <w:p w14:paraId="1FBAB033">
            <w:pPr>
              <w:widowControl/>
              <w:rPr>
                <w:rFonts w:hint="eastAsia" w:ascii="宋体" w:hAnsi="宋体" w:eastAsia="宋体" w:cs="宋体"/>
                <w:color w:val="auto"/>
                <w:kern w:val="0"/>
                <w:sz w:val="21"/>
                <w:szCs w:val="21"/>
                <w:lang w:val="en-US" w:eastAsia="zh-CN" w:bidi="ar-SA"/>
              </w:rPr>
            </w:pPr>
            <w:r>
              <w:rPr>
                <w:rFonts w:hint="eastAsia" w:ascii="宋体" w:hAnsi="宋体" w:cs="宋体"/>
                <w:color w:val="auto"/>
                <w:kern w:val="0"/>
                <w:sz w:val="21"/>
                <w:szCs w:val="21"/>
                <w:highlight w:val="none"/>
                <w:lang w:eastAsia="zh-CN"/>
              </w:rPr>
              <w:t>投标</w:t>
            </w:r>
            <w:r>
              <w:rPr>
                <w:rFonts w:hint="eastAsia" w:ascii="宋体" w:hAnsi="宋体" w:cs="宋体"/>
                <w:color w:val="auto"/>
                <w:kern w:val="0"/>
                <w:sz w:val="21"/>
                <w:szCs w:val="21"/>
                <w:highlight w:val="none"/>
              </w:rPr>
              <w:t>文件的格式、目录等符合</w:t>
            </w:r>
            <w:r>
              <w:rPr>
                <w:rFonts w:hint="eastAsia" w:ascii="宋体" w:hAnsi="宋体" w:cs="宋体"/>
                <w:color w:val="auto"/>
                <w:kern w:val="0"/>
                <w:sz w:val="21"/>
                <w:szCs w:val="21"/>
                <w:highlight w:val="none"/>
                <w:lang w:eastAsia="zh-CN"/>
              </w:rPr>
              <w:t>比选</w:t>
            </w:r>
            <w:r>
              <w:rPr>
                <w:rFonts w:hint="eastAsia" w:ascii="宋体" w:hAnsi="宋体" w:cs="宋体"/>
                <w:color w:val="auto"/>
                <w:kern w:val="0"/>
                <w:sz w:val="21"/>
                <w:szCs w:val="21"/>
                <w:highlight w:val="none"/>
              </w:rPr>
              <w:t>文件要求。</w:t>
            </w:r>
          </w:p>
        </w:tc>
      </w:tr>
      <w:tr w14:paraId="299B4E30">
        <w:tblPrEx>
          <w:tblCellMar>
            <w:top w:w="0" w:type="dxa"/>
            <w:left w:w="108" w:type="dxa"/>
            <w:bottom w:w="0" w:type="dxa"/>
            <w:right w:w="108" w:type="dxa"/>
          </w:tblCellMar>
        </w:tblPrEx>
        <w:trPr>
          <w:trHeight w:val="609"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376123">
            <w:pPr>
              <w:widowControl/>
              <w:jc w:val="center"/>
              <w:rPr>
                <w:rFonts w:hint="eastAsia" w:ascii="宋体" w:hAnsi="宋体" w:cs="宋体"/>
                <w:b/>
                <w:bCs/>
                <w:color w:val="auto"/>
                <w:kern w:val="0"/>
                <w:sz w:val="21"/>
                <w:szCs w:val="21"/>
                <w:lang w:eastAsia="zh-CN"/>
              </w:rPr>
            </w:pP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6E36C798">
            <w:pPr>
              <w:widowControl/>
              <w:jc w:val="center"/>
              <w:rPr>
                <w:rFonts w:hint="eastAsia" w:ascii="宋体" w:hAnsi="宋体" w:cs="宋体"/>
                <w:b/>
                <w:bCs/>
                <w:color w:val="auto"/>
                <w:kern w:val="0"/>
                <w:sz w:val="21"/>
                <w:szCs w:val="21"/>
              </w:rPr>
            </w:pPr>
            <w:r>
              <w:rPr>
                <w:rFonts w:hint="eastAsia" w:ascii="宋体" w:hAnsi="宋体" w:cs="宋体"/>
                <w:b/>
                <w:bCs/>
                <w:color w:val="auto"/>
                <w:kern w:val="0"/>
                <w:sz w:val="21"/>
                <w:szCs w:val="21"/>
              </w:rPr>
              <w:t>投标报价</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076C8459">
            <w:pPr>
              <w:widowControl/>
              <w:rPr>
                <w:rFonts w:hint="eastAsia" w:ascii="宋体" w:hAnsi="宋体" w:eastAsia="宋体" w:cs="宋体"/>
                <w:color w:val="auto"/>
                <w:kern w:val="0"/>
                <w:sz w:val="21"/>
                <w:szCs w:val="21"/>
                <w:lang w:eastAsia="zh-CN"/>
              </w:rPr>
            </w:pPr>
            <w:r>
              <w:rPr>
                <w:rFonts w:ascii="宋体" w:hAnsi="宋体" w:eastAsia="宋体" w:cs="宋体"/>
                <w:color w:val="auto"/>
                <w:sz w:val="21"/>
              </w:rPr>
              <w:t>只有一个有效报价且不高于最高投标限价。</w:t>
            </w:r>
          </w:p>
        </w:tc>
      </w:tr>
      <w:tr w14:paraId="3980535C">
        <w:tblPrEx>
          <w:tblCellMar>
            <w:top w:w="0" w:type="dxa"/>
            <w:left w:w="108" w:type="dxa"/>
            <w:bottom w:w="0" w:type="dxa"/>
            <w:right w:w="108" w:type="dxa"/>
          </w:tblCellMar>
        </w:tblPrEx>
        <w:trPr>
          <w:trHeight w:val="1685" w:hRule="atLeast"/>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25E0000">
            <w:pPr>
              <w:widowControl/>
              <w:jc w:val="center"/>
              <w:rPr>
                <w:rFonts w:hint="eastAsia" w:ascii="宋体" w:hAnsi="宋体" w:cs="宋体"/>
                <w:b/>
                <w:bCs/>
                <w:color w:val="auto"/>
                <w:kern w:val="0"/>
                <w:sz w:val="21"/>
                <w:szCs w:val="21"/>
                <w:lang w:eastAsia="zh-CN"/>
              </w:rPr>
            </w:pPr>
            <w:r>
              <w:rPr>
                <w:rFonts w:hint="eastAsia" w:ascii="宋体" w:hAnsi="宋体" w:cs="宋体"/>
                <w:b/>
                <w:bCs/>
                <w:color w:val="auto"/>
                <w:kern w:val="0"/>
                <w:sz w:val="21"/>
                <w:szCs w:val="21"/>
                <w:lang w:eastAsia="zh-CN"/>
              </w:rPr>
              <w:t>、</w:t>
            </w:r>
          </w:p>
        </w:tc>
        <w:tc>
          <w:tcPr>
            <w:tcW w:w="2440" w:type="dxa"/>
            <w:tcBorders>
              <w:top w:val="single" w:color="auto" w:sz="4" w:space="0"/>
              <w:left w:val="single" w:color="auto" w:sz="4" w:space="0"/>
              <w:bottom w:val="single" w:color="auto" w:sz="4" w:space="0"/>
              <w:right w:val="single" w:color="auto" w:sz="4" w:space="0"/>
            </w:tcBorders>
            <w:shd w:val="clear" w:color="auto" w:fill="auto"/>
            <w:vAlign w:val="center"/>
          </w:tcPr>
          <w:p w14:paraId="1ED6BAA1">
            <w:pPr>
              <w:widowControl/>
              <w:jc w:val="center"/>
              <w:rPr>
                <w:rFonts w:hint="eastAsia" w:ascii="宋体" w:hAnsi="宋体" w:eastAsia="宋体" w:cs="宋体"/>
                <w:b/>
                <w:bCs/>
                <w:color w:val="auto"/>
                <w:kern w:val="0"/>
                <w:sz w:val="21"/>
                <w:szCs w:val="21"/>
                <w:lang w:val="en-US" w:eastAsia="zh-CN" w:bidi="ar-SA"/>
              </w:rPr>
            </w:pPr>
            <w:r>
              <w:rPr>
                <w:rFonts w:hint="eastAsia" w:ascii="宋体" w:hAnsi="宋体" w:cs="宋体"/>
                <w:b/>
                <w:bCs/>
                <w:color w:val="auto"/>
                <w:kern w:val="0"/>
                <w:sz w:val="21"/>
                <w:szCs w:val="21"/>
                <w:lang w:val="en-US" w:eastAsia="zh-CN"/>
              </w:rPr>
              <w:t>服务内容</w:t>
            </w:r>
          </w:p>
        </w:tc>
        <w:tc>
          <w:tcPr>
            <w:tcW w:w="6560" w:type="dxa"/>
            <w:tcBorders>
              <w:top w:val="single" w:color="auto" w:sz="4" w:space="0"/>
              <w:left w:val="single" w:color="auto" w:sz="4" w:space="0"/>
              <w:bottom w:val="single" w:color="auto" w:sz="4" w:space="0"/>
              <w:right w:val="single" w:color="auto" w:sz="4" w:space="0"/>
            </w:tcBorders>
            <w:shd w:val="clear" w:color="000000" w:fill="FFFFFF"/>
            <w:vAlign w:val="center"/>
          </w:tcPr>
          <w:p w14:paraId="7DB983B9">
            <w:pPr>
              <w:widowControl/>
              <w:rPr>
                <w:rFonts w:hint="eastAsia" w:ascii="宋体" w:hAnsi="宋体" w:eastAsia="宋体" w:cs="宋体"/>
                <w:color w:val="auto"/>
                <w:kern w:val="0"/>
                <w:sz w:val="21"/>
                <w:szCs w:val="21"/>
                <w:lang w:val="en-US" w:eastAsia="zh-CN" w:bidi="ar-SA"/>
              </w:rPr>
            </w:pPr>
            <w:r>
              <w:rPr>
                <w:rFonts w:hint="eastAsia" w:ascii="宋体" w:hAnsi="宋体" w:eastAsia="宋体" w:cs="宋体"/>
                <w:b/>
                <w:bCs/>
                <w:color w:val="auto"/>
                <w:kern w:val="0"/>
                <w:sz w:val="21"/>
                <w:szCs w:val="21"/>
                <w:highlight w:val="none"/>
                <w:lang w:val="en-US" w:eastAsia="zh-CN"/>
              </w:rPr>
              <w:t>服务内容</w:t>
            </w:r>
            <w:r>
              <w:rPr>
                <w:rFonts w:hint="eastAsia" w:ascii="宋体" w:hAnsi="宋体" w:eastAsia="宋体" w:cs="宋体"/>
                <w:color w:val="auto"/>
                <w:kern w:val="0"/>
                <w:sz w:val="21"/>
                <w:szCs w:val="21"/>
                <w:highlight w:val="none"/>
                <w:lang w:val="en-US" w:eastAsia="zh-CN"/>
              </w:rPr>
              <w:t>为详细阶段岩土工程勘察：勘探孔约332个，技术孔为166个，鉴别孔为166个，其中取样孔为 111个，原位测试孔为55个;取I级试样为200组，I级试样为200组，岩石试样为100组，腐蚀性土样为2组;水蚀性土样约2组;进行标贯测试为150次，波速测试为7个孔，预计总进尺为5735m。</w:t>
            </w:r>
          </w:p>
        </w:tc>
      </w:tr>
      <w:tr w14:paraId="13537C8B">
        <w:tblPrEx>
          <w:tblCellMar>
            <w:top w:w="0" w:type="dxa"/>
            <w:left w:w="108" w:type="dxa"/>
            <w:bottom w:w="0" w:type="dxa"/>
            <w:right w:w="108" w:type="dxa"/>
          </w:tblCellMar>
        </w:tblPrEx>
        <w:trPr>
          <w:trHeight w:val="601" w:hRule="atLeast"/>
        </w:trPr>
        <w:tc>
          <w:tcPr>
            <w:tcW w:w="1080" w:type="dxa"/>
            <w:vMerge w:val="continue"/>
            <w:tcBorders>
              <w:top w:val="single" w:color="auto" w:sz="4" w:space="0"/>
              <w:left w:val="single" w:color="auto" w:sz="4" w:space="0"/>
              <w:right w:val="single" w:color="auto" w:sz="4" w:space="0"/>
            </w:tcBorders>
            <w:shd w:val="clear" w:color="auto" w:fill="auto"/>
            <w:vAlign w:val="center"/>
          </w:tcPr>
          <w:p w14:paraId="5F304007">
            <w:pPr>
              <w:widowControl/>
              <w:jc w:val="center"/>
              <w:rPr>
                <w:rFonts w:hint="eastAsia" w:ascii="宋体" w:hAnsi="宋体" w:cs="宋体"/>
                <w:color w:val="auto"/>
                <w:kern w:val="0"/>
                <w:sz w:val="21"/>
                <w:szCs w:val="21"/>
              </w:rPr>
            </w:pPr>
          </w:p>
        </w:tc>
        <w:tc>
          <w:tcPr>
            <w:tcW w:w="2440" w:type="dxa"/>
            <w:tcBorders>
              <w:top w:val="single" w:color="auto" w:sz="4" w:space="0"/>
              <w:left w:val="nil"/>
              <w:bottom w:val="single" w:color="auto" w:sz="4" w:space="0"/>
              <w:right w:val="single" w:color="auto" w:sz="4" w:space="0"/>
            </w:tcBorders>
            <w:shd w:val="clear" w:color="auto" w:fill="auto"/>
            <w:vAlign w:val="center"/>
          </w:tcPr>
          <w:p w14:paraId="35622A36">
            <w:pPr>
              <w:widowControl/>
              <w:ind w:firstLine="632" w:firstLineChars="300"/>
              <w:rPr>
                <w:rFonts w:hint="eastAsia" w:ascii="宋体" w:hAnsi="宋体" w:cs="宋体"/>
                <w:b/>
                <w:bCs/>
                <w:color w:val="auto"/>
                <w:kern w:val="0"/>
                <w:sz w:val="21"/>
                <w:szCs w:val="21"/>
                <w:lang w:val="en-US" w:eastAsia="zh-CN"/>
              </w:rPr>
            </w:pPr>
            <w:r>
              <w:rPr>
                <w:rFonts w:hint="eastAsia" w:ascii="宋体" w:hAnsi="宋体" w:cs="宋体"/>
                <w:b/>
                <w:bCs/>
                <w:color w:val="auto"/>
                <w:kern w:val="0"/>
                <w:sz w:val="21"/>
                <w:szCs w:val="21"/>
                <w:lang w:val="en-US" w:eastAsia="zh-CN"/>
              </w:rPr>
              <w:t>服务周期</w:t>
            </w:r>
          </w:p>
        </w:tc>
        <w:tc>
          <w:tcPr>
            <w:tcW w:w="6560" w:type="dxa"/>
            <w:tcBorders>
              <w:top w:val="single" w:color="auto" w:sz="4" w:space="0"/>
              <w:left w:val="nil"/>
              <w:bottom w:val="single" w:color="auto" w:sz="4" w:space="0"/>
              <w:right w:val="single" w:color="auto" w:sz="4" w:space="0"/>
            </w:tcBorders>
            <w:shd w:val="clear" w:color="000000" w:fill="FFFFFF"/>
            <w:vAlign w:val="center"/>
          </w:tcPr>
          <w:p w14:paraId="51B3F361">
            <w:pPr>
              <w:widowControl/>
              <w:rPr>
                <w:rFonts w:hint="eastAsia" w:ascii="宋体" w:hAnsi="宋体" w:cs="宋体"/>
                <w:color w:val="auto"/>
                <w:kern w:val="0"/>
                <w:sz w:val="21"/>
                <w:szCs w:val="21"/>
                <w:lang w:val="en-US" w:eastAsia="zh-CN"/>
              </w:rPr>
            </w:pPr>
            <w:r>
              <w:rPr>
                <w:rFonts w:hint="eastAsia" w:ascii="宋体" w:hAnsi="宋体" w:cs="宋体"/>
                <w:color w:val="auto"/>
                <w:kern w:val="0"/>
                <w:sz w:val="21"/>
                <w:szCs w:val="21"/>
                <w:lang w:val="en-US" w:eastAsia="zh-CN"/>
              </w:rPr>
              <w:t>合同签订后15个工作日内出具勘察成果。</w:t>
            </w:r>
          </w:p>
        </w:tc>
      </w:tr>
      <w:tr w14:paraId="1FED1172">
        <w:tblPrEx>
          <w:tblCellMar>
            <w:top w:w="0" w:type="dxa"/>
            <w:left w:w="108" w:type="dxa"/>
            <w:bottom w:w="0" w:type="dxa"/>
            <w:right w:w="108" w:type="dxa"/>
          </w:tblCellMar>
        </w:tblPrEx>
        <w:trPr>
          <w:trHeight w:val="1040" w:hRule="atLeast"/>
        </w:trPr>
        <w:tc>
          <w:tcPr>
            <w:tcW w:w="1080" w:type="dxa"/>
            <w:vMerge w:val="continue"/>
            <w:tcBorders>
              <w:left w:val="single" w:color="auto" w:sz="4" w:space="0"/>
              <w:right w:val="single" w:color="auto" w:sz="4" w:space="0"/>
            </w:tcBorders>
            <w:shd w:val="clear" w:color="auto" w:fill="auto"/>
            <w:vAlign w:val="center"/>
          </w:tcPr>
          <w:p w14:paraId="4AC1F2CF">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55496CA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bCs/>
                <w:color w:val="auto"/>
                <w:kern w:val="0"/>
                <w:sz w:val="21"/>
                <w:szCs w:val="21"/>
              </w:rPr>
            </w:pPr>
            <w:r>
              <w:rPr>
                <w:rFonts w:hint="eastAsia" w:ascii="宋体" w:hAnsi="宋体" w:cs="宋体"/>
                <w:b/>
                <w:bCs/>
                <w:color w:val="auto"/>
                <w:kern w:val="0"/>
                <w:sz w:val="21"/>
                <w:szCs w:val="21"/>
                <w:lang w:val="en-US" w:eastAsia="zh-CN"/>
              </w:rPr>
              <w:t>服务要求</w:t>
            </w:r>
          </w:p>
        </w:tc>
        <w:tc>
          <w:tcPr>
            <w:tcW w:w="6560" w:type="dxa"/>
            <w:tcBorders>
              <w:top w:val="nil"/>
              <w:left w:val="nil"/>
              <w:bottom w:val="single" w:color="auto" w:sz="4" w:space="0"/>
              <w:right w:val="single" w:color="auto" w:sz="4" w:space="0"/>
            </w:tcBorders>
            <w:shd w:val="clear" w:color="000000" w:fill="FFFFFF"/>
            <w:vAlign w:val="center"/>
          </w:tcPr>
          <w:p w14:paraId="52678D32">
            <w:pPr>
              <w:widowControl/>
              <w:rPr>
                <w:rFonts w:hint="eastAsia" w:ascii="宋体" w:hAnsi="宋体" w:cs="宋体"/>
                <w:color w:val="auto"/>
                <w:kern w:val="0"/>
                <w:sz w:val="21"/>
                <w:szCs w:val="21"/>
              </w:rPr>
            </w:pPr>
            <w:r>
              <w:rPr>
                <w:rFonts w:hint="eastAsia" w:ascii="宋体" w:hAnsi="宋体" w:cs="宋体"/>
                <w:color w:val="auto"/>
                <w:kern w:val="0"/>
                <w:sz w:val="21"/>
                <w:szCs w:val="21"/>
                <w:lang w:val="en-US" w:eastAsia="zh-CN"/>
              </w:rPr>
              <w:t>质量标准应符合行业规程标准、达到国家现行规范及相关法律法规的要求，满足比选人使用要求的成果。</w:t>
            </w:r>
          </w:p>
        </w:tc>
      </w:tr>
      <w:tr w14:paraId="026F3155">
        <w:tblPrEx>
          <w:tblCellMar>
            <w:top w:w="0" w:type="dxa"/>
            <w:left w:w="108" w:type="dxa"/>
            <w:bottom w:w="0" w:type="dxa"/>
            <w:right w:w="108" w:type="dxa"/>
          </w:tblCellMar>
        </w:tblPrEx>
        <w:trPr>
          <w:trHeight w:val="600" w:hRule="atLeast"/>
        </w:trPr>
        <w:tc>
          <w:tcPr>
            <w:tcW w:w="1080" w:type="dxa"/>
            <w:vMerge w:val="continue"/>
            <w:tcBorders>
              <w:left w:val="single" w:color="auto" w:sz="4" w:space="0"/>
              <w:bottom w:val="single" w:color="auto" w:sz="4" w:space="0"/>
              <w:right w:val="single" w:color="auto" w:sz="4" w:space="0"/>
            </w:tcBorders>
            <w:shd w:val="clear" w:color="auto" w:fill="auto"/>
            <w:vAlign w:val="center"/>
          </w:tcPr>
          <w:p w14:paraId="27FDC9CC">
            <w:pPr>
              <w:widowControl/>
              <w:jc w:val="center"/>
              <w:rPr>
                <w:rFonts w:hint="eastAsia" w:ascii="宋体" w:hAnsi="宋体" w:cs="宋体"/>
                <w:color w:val="auto"/>
                <w:kern w:val="0"/>
                <w:sz w:val="21"/>
                <w:szCs w:val="21"/>
              </w:rPr>
            </w:pPr>
          </w:p>
        </w:tc>
        <w:tc>
          <w:tcPr>
            <w:tcW w:w="2440" w:type="dxa"/>
            <w:tcBorders>
              <w:top w:val="nil"/>
              <w:left w:val="nil"/>
              <w:bottom w:val="single" w:color="auto" w:sz="4" w:space="0"/>
              <w:right w:val="single" w:color="auto" w:sz="4" w:space="0"/>
            </w:tcBorders>
            <w:shd w:val="clear" w:color="auto" w:fill="auto"/>
            <w:vAlign w:val="center"/>
          </w:tcPr>
          <w:p w14:paraId="643CAD87">
            <w:pPr>
              <w:widowControl/>
              <w:jc w:val="center"/>
              <w:rPr>
                <w:rFonts w:hint="eastAsia" w:ascii="宋体" w:hAnsi="宋体" w:eastAsia="宋体" w:cs="宋体"/>
                <w:b/>
                <w:bCs/>
                <w:color w:val="auto"/>
                <w:kern w:val="0"/>
                <w:sz w:val="21"/>
                <w:szCs w:val="21"/>
                <w:lang w:eastAsia="zh-CN"/>
              </w:rPr>
            </w:pPr>
            <w:r>
              <w:rPr>
                <w:rFonts w:hint="eastAsia" w:ascii="宋体" w:hAnsi="宋体" w:cs="宋体"/>
                <w:b/>
                <w:bCs/>
                <w:color w:val="auto"/>
                <w:kern w:val="0"/>
                <w:sz w:val="21"/>
                <w:szCs w:val="21"/>
                <w:lang w:eastAsia="zh-CN"/>
              </w:rPr>
              <w:t>其他要求</w:t>
            </w:r>
          </w:p>
        </w:tc>
        <w:tc>
          <w:tcPr>
            <w:tcW w:w="6560" w:type="dxa"/>
            <w:tcBorders>
              <w:top w:val="nil"/>
              <w:left w:val="nil"/>
              <w:bottom w:val="single" w:color="auto" w:sz="4" w:space="0"/>
              <w:right w:val="single" w:color="auto" w:sz="4" w:space="0"/>
            </w:tcBorders>
            <w:shd w:val="clear" w:color="000000" w:fill="FFFFFF"/>
            <w:vAlign w:val="center"/>
          </w:tcPr>
          <w:p w14:paraId="73B459D7">
            <w:pPr>
              <w:widowControl/>
              <w:rPr>
                <w:rFonts w:hint="eastAsia" w:ascii="宋体" w:hAnsi="宋体" w:cs="宋体"/>
                <w:color w:val="auto"/>
                <w:kern w:val="0"/>
                <w:sz w:val="21"/>
                <w:szCs w:val="21"/>
              </w:rPr>
            </w:pPr>
            <w:r>
              <w:rPr>
                <w:rFonts w:hint="eastAsia" w:ascii="宋体" w:hAnsi="宋体" w:cs="宋体"/>
                <w:color w:val="auto"/>
                <w:kern w:val="0"/>
                <w:sz w:val="21"/>
                <w:szCs w:val="21"/>
              </w:rPr>
              <w:t>符合</w:t>
            </w:r>
            <w:r>
              <w:rPr>
                <w:rFonts w:hint="eastAsia" w:ascii="宋体" w:hAnsi="宋体" w:cs="宋体"/>
                <w:color w:val="auto"/>
                <w:kern w:val="0"/>
                <w:sz w:val="21"/>
                <w:szCs w:val="21"/>
                <w:lang w:eastAsia="zh-CN"/>
              </w:rPr>
              <w:t>比选公告其他</w:t>
            </w:r>
            <w:r>
              <w:rPr>
                <w:rFonts w:hint="eastAsia" w:ascii="宋体" w:hAnsi="宋体" w:cs="宋体"/>
                <w:color w:val="auto"/>
                <w:kern w:val="0"/>
                <w:sz w:val="21"/>
                <w:szCs w:val="21"/>
              </w:rPr>
              <w:t>要求及相关法律法规要求。</w:t>
            </w:r>
          </w:p>
        </w:tc>
      </w:tr>
      <w:tr w14:paraId="66274B18">
        <w:tblPrEx>
          <w:tblCellMar>
            <w:top w:w="0" w:type="dxa"/>
            <w:left w:w="108" w:type="dxa"/>
            <w:bottom w:w="0" w:type="dxa"/>
            <w:right w:w="108" w:type="dxa"/>
          </w:tblCellMar>
        </w:tblPrEx>
        <w:trPr>
          <w:trHeight w:val="838" w:hRule="atLeast"/>
        </w:trPr>
        <w:tc>
          <w:tcPr>
            <w:tcW w:w="10080"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14:paraId="53F64781">
            <w:pPr>
              <w:widowControl/>
              <w:jc w:val="left"/>
              <w:rPr>
                <w:rFonts w:hint="eastAsia" w:ascii="宋体" w:hAnsi="宋体" w:eastAsia="宋体" w:cs="宋体"/>
                <w:color w:val="auto"/>
                <w:kern w:val="0"/>
                <w:sz w:val="21"/>
                <w:szCs w:val="21"/>
                <w:lang w:eastAsia="zh-CN"/>
              </w:rPr>
            </w:pPr>
            <w:r>
              <w:rPr>
                <w:rFonts w:hint="eastAsia" w:ascii="宋体" w:hAnsi="宋体" w:cs="宋体"/>
                <w:b/>
                <w:bCs/>
                <w:color w:val="auto"/>
                <w:kern w:val="0"/>
                <w:sz w:val="21"/>
                <w:szCs w:val="21"/>
              </w:rPr>
              <w:t>备注：</w:t>
            </w:r>
            <w:r>
              <w:rPr>
                <w:rFonts w:hint="eastAsia" w:ascii="宋体" w:hAnsi="宋体" w:cs="宋体"/>
                <w:b/>
                <w:bCs/>
                <w:color w:val="auto"/>
                <w:kern w:val="0"/>
                <w:sz w:val="21"/>
                <w:szCs w:val="21"/>
                <w:lang w:eastAsia="zh-CN"/>
              </w:rPr>
              <w:t>资格性、</w:t>
            </w:r>
            <w:r>
              <w:rPr>
                <w:rFonts w:hint="eastAsia" w:ascii="宋体" w:hAnsi="宋体" w:cs="宋体"/>
                <w:b/>
                <w:bCs/>
                <w:color w:val="auto"/>
                <w:kern w:val="0"/>
                <w:sz w:val="21"/>
                <w:szCs w:val="21"/>
              </w:rPr>
              <w:t>符合性审查中有任意一项未通过的，评审结果为</w:t>
            </w:r>
            <w:r>
              <w:rPr>
                <w:rFonts w:hint="eastAsia" w:ascii="宋体" w:hAnsi="宋体" w:cs="宋体"/>
                <w:b/>
                <w:bCs/>
                <w:color w:val="auto"/>
                <w:kern w:val="0"/>
                <w:sz w:val="21"/>
                <w:szCs w:val="21"/>
                <w:lang w:eastAsia="zh-CN"/>
              </w:rPr>
              <w:t>不合格。</w:t>
            </w:r>
          </w:p>
        </w:tc>
      </w:tr>
    </w:tbl>
    <w:p w14:paraId="2EBB0D37">
      <w:pPr>
        <w:rPr>
          <w:rFonts w:hint="eastAsia"/>
        </w:rPr>
      </w:pPr>
      <w:r>
        <w:rPr>
          <w:rFonts w:hint="eastAsia"/>
        </w:rPr>
        <w:br w:type="page"/>
      </w:r>
    </w:p>
    <w:p w14:paraId="523518C6">
      <w:pPr>
        <w:spacing w:line="360" w:lineRule="auto"/>
        <w:ind w:firstLine="236" w:firstLineChars="98"/>
        <w:rPr>
          <w:rFonts w:hint="eastAsia" w:ascii="宋体" w:hAnsi="宋体"/>
          <w:b/>
          <w:sz w:val="24"/>
          <w:lang w:eastAsia="zh-CN"/>
        </w:rPr>
      </w:pPr>
      <w:r>
        <w:rPr>
          <w:rFonts w:hint="eastAsia" w:ascii="宋体" w:hAnsi="宋体"/>
          <w:b/>
          <w:sz w:val="24"/>
        </w:rPr>
        <w:t>三、</w:t>
      </w:r>
      <w:r>
        <w:rPr>
          <w:rFonts w:hint="eastAsia" w:ascii="宋体" w:hAnsi="宋体"/>
          <w:b/>
          <w:sz w:val="24"/>
          <w:lang w:eastAsia="zh-CN"/>
        </w:rPr>
        <w:t>对</w:t>
      </w:r>
      <w:r>
        <w:rPr>
          <w:rFonts w:hint="eastAsia" w:ascii="宋体" w:hAnsi="宋体"/>
          <w:b/>
          <w:sz w:val="24"/>
        </w:rPr>
        <w:t>所有通过符合性审核的单位</w:t>
      </w:r>
      <w:r>
        <w:rPr>
          <w:rFonts w:hint="eastAsia" w:ascii="宋体" w:hAnsi="宋体"/>
          <w:b/>
          <w:sz w:val="24"/>
          <w:lang w:eastAsia="zh-CN"/>
        </w:rPr>
        <w:t>进行详细评审</w:t>
      </w:r>
    </w:p>
    <w:p w14:paraId="539F501F">
      <w:pPr>
        <w:rPr>
          <w:rFonts w:hint="eastAsia"/>
          <w:b/>
          <w:bCs/>
          <w:sz w:val="20"/>
          <w:szCs w:val="20"/>
          <w:lang w:val="en-US" w:eastAsia="zh-CN"/>
        </w:rPr>
      </w:pPr>
    </w:p>
    <w:tbl>
      <w:tblPr>
        <w:tblStyle w:val="11"/>
        <w:tblW w:w="9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599"/>
        <w:gridCol w:w="6181"/>
      </w:tblGrid>
      <w:tr w14:paraId="1F914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3638" w:type="dxa"/>
            <w:gridSpan w:val="2"/>
            <w:vAlign w:val="center"/>
          </w:tcPr>
          <w:p w14:paraId="163726D4">
            <w:pPr>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评审因素</w:t>
            </w:r>
          </w:p>
        </w:tc>
        <w:tc>
          <w:tcPr>
            <w:tcW w:w="6181" w:type="dxa"/>
            <w:vAlign w:val="center"/>
          </w:tcPr>
          <w:p w14:paraId="5D908301">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r>
      <w:tr w14:paraId="5DD28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3638" w:type="dxa"/>
            <w:gridSpan w:val="2"/>
            <w:vAlign w:val="center"/>
          </w:tcPr>
          <w:p w14:paraId="304B1E58">
            <w:pPr>
              <w:widowControl/>
              <w:jc w:val="center"/>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分值构成</w:t>
            </w:r>
          </w:p>
        </w:tc>
        <w:tc>
          <w:tcPr>
            <w:tcW w:w="6181" w:type="dxa"/>
            <w:vAlign w:val="center"/>
          </w:tcPr>
          <w:p w14:paraId="4C645BE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1.服务方案60分</w:t>
            </w:r>
          </w:p>
          <w:p w14:paraId="663E077B">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2.商务部分10分</w:t>
            </w:r>
          </w:p>
          <w:p w14:paraId="52976D49">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3.报价得分30分</w:t>
            </w:r>
          </w:p>
        </w:tc>
      </w:tr>
      <w:tr w14:paraId="59F2D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6" w:hRule="atLeast"/>
          <w:jc w:val="center"/>
        </w:trPr>
        <w:tc>
          <w:tcPr>
            <w:tcW w:w="1039" w:type="dxa"/>
            <w:vMerge w:val="restart"/>
            <w:vAlign w:val="center"/>
          </w:tcPr>
          <w:p w14:paraId="2CC2F958">
            <w:pPr>
              <w:widowControl/>
              <w:jc w:val="center"/>
              <w:rPr>
                <w:rFonts w:hint="default"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技术部分（60分）</w:t>
            </w:r>
          </w:p>
        </w:tc>
        <w:tc>
          <w:tcPr>
            <w:tcW w:w="2599" w:type="dxa"/>
            <w:vAlign w:val="center"/>
          </w:tcPr>
          <w:p w14:paraId="2E55CF6C">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 xml:space="preserve">服务方案的编制 </w:t>
            </w:r>
          </w:p>
          <w:p w14:paraId="0CEA3067">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default"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 xml:space="preserve">(15分) </w:t>
            </w:r>
          </w:p>
        </w:tc>
        <w:tc>
          <w:tcPr>
            <w:tcW w:w="6181" w:type="dxa"/>
            <w:vAlign w:val="center"/>
          </w:tcPr>
          <w:p w14:paraId="3F817077">
            <w:pPr>
              <w:keepNext w:val="0"/>
              <w:keepLines w:val="0"/>
              <w:pageBreakBefore w:val="0"/>
              <w:widowControl/>
              <w:numPr>
                <w:ilvl w:val="0"/>
                <w:numId w:val="0"/>
              </w:numPr>
              <w:kinsoku/>
              <w:wordWrap/>
              <w:overflowPunct/>
              <w:topLinePunct w:val="0"/>
              <w:autoSpaceDE/>
              <w:autoSpaceDN/>
              <w:bidi w:val="0"/>
              <w:adjustRightInd/>
              <w:snapToGrid w:val="0"/>
              <w:spacing w:line="336" w:lineRule="auto"/>
              <w:textAlignment w:val="auto"/>
              <w:rPr>
                <w:rFonts w:hint="eastAsia" w:ascii="宋体" w:hAnsi="宋体" w:eastAsia="宋体" w:cs="宋体"/>
                <w:color w:val="000000"/>
                <w:kern w:val="0"/>
                <w:sz w:val="21"/>
                <w:szCs w:val="21"/>
                <w:highlight w:val="none"/>
                <w:lang w:val="en-US" w:eastAsia="zh-CN" w:bidi="ar-SA"/>
              </w:rPr>
            </w:pPr>
            <w:r>
              <w:rPr>
                <w:rFonts w:ascii="宋体" w:hAnsi="宋体" w:eastAsia="宋体" w:cs="宋体"/>
                <w:kern w:val="0"/>
                <w:sz w:val="21"/>
                <w:szCs w:val="24"/>
                <w:lang w:val="en-US" w:eastAsia="zh-CN" w:bidi="ar-SA"/>
              </w:rPr>
              <w:t>对</w:t>
            </w:r>
            <w:r>
              <w:rPr>
                <w:rFonts w:hint="eastAsia" w:ascii="宋体" w:hAnsi="宋体" w:eastAsia="宋体" w:cs="宋体"/>
                <w:kern w:val="0"/>
                <w:sz w:val="21"/>
                <w:szCs w:val="24"/>
                <w:lang w:val="en-US" w:eastAsia="zh-CN" w:bidi="ar-SA"/>
              </w:rPr>
              <w:t>本项目认识非常全面，</w:t>
            </w:r>
            <w:r>
              <w:rPr>
                <w:rFonts w:ascii="宋体" w:hAnsi="宋体" w:eastAsia="宋体" w:cs="宋体"/>
                <w:kern w:val="0"/>
                <w:sz w:val="21"/>
                <w:szCs w:val="24"/>
                <w:lang w:val="en-US" w:eastAsia="zh-CN" w:bidi="ar-SA"/>
              </w:rPr>
              <w:t>编制进度和</w:t>
            </w:r>
            <w:r>
              <w:rPr>
                <w:rFonts w:hint="eastAsia" w:ascii="宋体" w:hAnsi="宋体" w:eastAsia="宋体" w:cs="宋体"/>
                <w:kern w:val="0"/>
                <w:sz w:val="21"/>
                <w:szCs w:val="24"/>
                <w:lang w:val="en-US" w:eastAsia="zh-CN" w:bidi="ar-SA"/>
              </w:rPr>
              <w:t>勘察报告</w:t>
            </w:r>
            <w:r>
              <w:rPr>
                <w:rFonts w:ascii="宋体" w:hAnsi="宋体" w:eastAsia="宋体" w:cs="宋体"/>
                <w:kern w:val="0"/>
                <w:sz w:val="21"/>
                <w:szCs w:val="24"/>
                <w:lang w:val="en-US" w:eastAsia="zh-CN" w:bidi="ar-SA"/>
              </w:rPr>
              <w:t>思路清晰，契合实际，重点突出，成果体系完善</w:t>
            </w:r>
            <w:r>
              <w:rPr>
                <w:rFonts w:hint="eastAsia" w:ascii="宋体" w:hAnsi="宋体" w:eastAsia="宋体" w:cs="宋体"/>
                <w:kern w:val="0"/>
                <w:sz w:val="21"/>
                <w:szCs w:val="24"/>
                <w:lang w:val="en-US" w:eastAsia="zh-CN" w:bidi="ar-SA"/>
              </w:rPr>
              <w:t>针对性强的得10-15分；</w:t>
            </w:r>
            <w:r>
              <w:rPr>
                <w:rFonts w:ascii="宋体" w:hAnsi="宋体" w:eastAsia="宋体" w:cs="宋体"/>
                <w:kern w:val="0"/>
                <w:sz w:val="21"/>
                <w:szCs w:val="24"/>
                <w:lang w:val="en-US" w:eastAsia="zh-CN" w:bidi="ar-SA"/>
              </w:rPr>
              <w:t xml:space="preserve"> 对</w:t>
            </w:r>
            <w:r>
              <w:rPr>
                <w:rFonts w:hint="eastAsia" w:ascii="宋体" w:hAnsi="宋体" w:eastAsia="宋体" w:cs="宋体"/>
                <w:kern w:val="0"/>
                <w:sz w:val="21"/>
                <w:szCs w:val="24"/>
                <w:lang w:val="en-US" w:eastAsia="zh-CN" w:bidi="ar-SA"/>
              </w:rPr>
              <w:t>本项目认识</w:t>
            </w:r>
            <w:r>
              <w:rPr>
                <w:rFonts w:ascii="宋体" w:hAnsi="宋体" w:eastAsia="宋体" w:cs="宋体"/>
                <w:kern w:val="0"/>
                <w:sz w:val="21"/>
                <w:szCs w:val="24"/>
                <w:lang w:val="en-US" w:eastAsia="zh-CN" w:bidi="ar-SA"/>
              </w:rPr>
              <w:t>较为全面；编制进度和</w:t>
            </w:r>
            <w:r>
              <w:rPr>
                <w:rFonts w:hint="eastAsia" w:ascii="宋体" w:hAnsi="宋体" w:eastAsia="宋体" w:cs="宋体"/>
                <w:kern w:val="0"/>
                <w:sz w:val="21"/>
                <w:szCs w:val="24"/>
                <w:lang w:val="en-US" w:eastAsia="zh-CN" w:bidi="ar-SA"/>
              </w:rPr>
              <w:t>勘察报告</w:t>
            </w:r>
            <w:r>
              <w:rPr>
                <w:rFonts w:ascii="宋体" w:hAnsi="宋体" w:eastAsia="宋体" w:cs="宋体"/>
                <w:kern w:val="0"/>
                <w:sz w:val="21"/>
                <w:szCs w:val="24"/>
                <w:lang w:val="en-US" w:eastAsia="zh-CN" w:bidi="ar-SA"/>
              </w:rPr>
              <w:t>思路较为清晰；较为契合实际，重点较为突出</w:t>
            </w:r>
            <w:r>
              <w:rPr>
                <w:rFonts w:hint="eastAsia" w:ascii="宋体" w:hAnsi="宋体" w:eastAsia="宋体" w:cs="宋体"/>
                <w:kern w:val="0"/>
                <w:sz w:val="21"/>
                <w:szCs w:val="24"/>
                <w:lang w:val="en-US" w:eastAsia="zh-CN" w:bidi="ar-SA"/>
              </w:rPr>
              <w:t>，</w:t>
            </w:r>
            <w:r>
              <w:rPr>
                <w:rFonts w:ascii="宋体" w:hAnsi="宋体" w:eastAsia="宋体" w:cs="宋体"/>
                <w:kern w:val="0"/>
                <w:sz w:val="21"/>
                <w:szCs w:val="24"/>
                <w:lang w:val="en-US" w:eastAsia="zh-CN" w:bidi="ar-SA"/>
              </w:rPr>
              <w:t>成果体系</w:t>
            </w:r>
            <w:r>
              <w:rPr>
                <w:rFonts w:hint="eastAsia" w:ascii="宋体" w:hAnsi="宋体" w:eastAsia="宋体" w:cs="宋体"/>
                <w:kern w:val="0"/>
                <w:sz w:val="21"/>
                <w:szCs w:val="24"/>
                <w:lang w:val="en-US" w:eastAsia="zh-CN" w:bidi="ar-SA"/>
              </w:rPr>
              <w:t>较完善的</w:t>
            </w:r>
            <w:r>
              <w:rPr>
                <w:rFonts w:ascii="宋体" w:hAnsi="宋体" w:eastAsia="宋体" w:cs="宋体"/>
                <w:kern w:val="0"/>
                <w:sz w:val="21"/>
                <w:szCs w:val="24"/>
                <w:lang w:val="en-US" w:eastAsia="zh-CN" w:bidi="ar-SA"/>
              </w:rPr>
              <w:t>得</w:t>
            </w:r>
            <w:r>
              <w:rPr>
                <w:rFonts w:hint="eastAsia" w:ascii="宋体" w:hAnsi="宋体" w:eastAsia="宋体" w:cs="宋体"/>
                <w:kern w:val="0"/>
                <w:sz w:val="21"/>
                <w:szCs w:val="24"/>
                <w:lang w:val="en-US" w:eastAsia="zh-CN" w:bidi="ar-SA"/>
              </w:rPr>
              <w:t>5</w:t>
            </w:r>
            <w:r>
              <w:rPr>
                <w:rFonts w:ascii="宋体" w:hAnsi="宋体" w:eastAsia="宋体" w:cs="宋体"/>
                <w:kern w:val="0"/>
                <w:sz w:val="21"/>
                <w:szCs w:val="24"/>
                <w:lang w:val="en-US" w:eastAsia="zh-CN" w:bidi="ar-SA"/>
              </w:rPr>
              <w:t>-</w:t>
            </w:r>
            <w:r>
              <w:rPr>
                <w:rFonts w:hint="eastAsia" w:ascii="宋体" w:hAnsi="宋体" w:eastAsia="宋体" w:cs="宋体"/>
                <w:kern w:val="0"/>
                <w:sz w:val="21"/>
                <w:szCs w:val="24"/>
                <w:lang w:val="en-US" w:eastAsia="zh-CN" w:bidi="ar-SA"/>
              </w:rPr>
              <w:t>9</w:t>
            </w:r>
            <w:r>
              <w:rPr>
                <w:rFonts w:ascii="宋体" w:hAnsi="宋体" w:eastAsia="宋体" w:cs="宋体"/>
                <w:kern w:val="0"/>
                <w:sz w:val="21"/>
                <w:szCs w:val="24"/>
                <w:lang w:val="en-US" w:eastAsia="zh-CN" w:bidi="ar-SA"/>
              </w:rPr>
              <w:t>分</w:t>
            </w:r>
            <w:r>
              <w:rPr>
                <w:rFonts w:hint="eastAsia" w:ascii="宋体" w:hAnsi="宋体" w:eastAsia="宋体" w:cs="宋体"/>
                <w:kern w:val="0"/>
                <w:sz w:val="21"/>
                <w:szCs w:val="24"/>
                <w:lang w:val="en-US" w:eastAsia="zh-CN" w:bidi="ar-SA"/>
              </w:rPr>
              <w:t>；</w:t>
            </w:r>
            <w:r>
              <w:rPr>
                <w:rFonts w:ascii="宋体" w:hAnsi="宋体" w:eastAsia="宋体" w:cs="宋体"/>
                <w:kern w:val="0"/>
                <w:sz w:val="21"/>
                <w:szCs w:val="24"/>
                <w:lang w:val="en-US" w:eastAsia="zh-CN" w:bidi="ar-SA"/>
              </w:rPr>
              <w:t>对</w:t>
            </w:r>
            <w:r>
              <w:rPr>
                <w:rFonts w:hint="eastAsia" w:ascii="宋体" w:hAnsi="宋体" w:eastAsia="宋体" w:cs="宋体"/>
                <w:kern w:val="0"/>
                <w:sz w:val="21"/>
                <w:szCs w:val="24"/>
                <w:lang w:val="en-US" w:eastAsia="zh-CN" w:bidi="ar-SA"/>
              </w:rPr>
              <w:t>本项目认识</w:t>
            </w:r>
            <w:r>
              <w:rPr>
                <w:rFonts w:ascii="宋体" w:hAnsi="宋体" w:eastAsia="宋体" w:cs="宋体"/>
                <w:kern w:val="0"/>
                <w:sz w:val="21"/>
                <w:szCs w:val="24"/>
                <w:lang w:val="en-US" w:eastAsia="zh-CN" w:bidi="ar-SA"/>
              </w:rPr>
              <w:t>一般，编制进度和</w:t>
            </w:r>
            <w:r>
              <w:rPr>
                <w:rFonts w:hint="eastAsia" w:ascii="宋体" w:hAnsi="宋体" w:eastAsia="宋体" w:cs="宋体"/>
                <w:kern w:val="0"/>
                <w:sz w:val="21"/>
                <w:szCs w:val="24"/>
                <w:lang w:val="en-US" w:eastAsia="zh-CN" w:bidi="ar-SA"/>
              </w:rPr>
              <w:t>勘察报告</w:t>
            </w:r>
            <w:r>
              <w:rPr>
                <w:rFonts w:ascii="宋体" w:hAnsi="宋体" w:eastAsia="宋体" w:cs="宋体"/>
                <w:kern w:val="0"/>
                <w:sz w:val="21"/>
                <w:szCs w:val="24"/>
                <w:lang w:val="en-US" w:eastAsia="zh-CN" w:bidi="ar-SA"/>
              </w:rPr>
              <w:t>思路清晰</w:t>
            </w:r>
            <w:r>
              <w:rPr>
                <w:rFonts w:hint="eastAsia" w:ascii="宋体" w:hAnsi="宋体" w:eastAsia="宋体" w:cs="宋体"/>
                <w:kern w:val="0"/>
                <w:sz w:val="21"/>
                <w:szCs w:val="24"/>
                <w:lang w:val="en-US" w:eastAsia="zh-CN" w:bidi="ar-SA"/>
              </w:rPr>
              <w:t>度一般</w:t>
            </w:r>
            <w:r>
              <w:rPr>
                <w:rFonts w:ascii="宋体" w:hAnsi="宋体" w:eastAsia="宋体" w:cs="宋体"/>
                <w:kern w:val="0"/>
                <w:sz w:val="21"/>
                <w:szCs w:val="24"/>
                <w:lang w:val="en-US" w:eastAsia="zh-CN" w:bidi="ar-SA"/>
              </w:rPr>
              <w:t>，契合实际一般，重点突出一般，成果体系</w:t>
            </w:r>
            <w:r>
              <w:rPr>
                <w:rFonts w:hint="eastAsia" w:ascii="宋体" w:hAnsi="宋体" w:eastAsia="宋体" w:cs="宋体"/>
                <w:kern w:val="0"/>
                <w:sz w:val="21"/>
                <w:szCs w:val="24"/>
                <w:lang w:val="en-US" w:eastAsia="zh-CN" w:bidi="ar-SA"/>
              </w:rPr>
              <w:t>完善</w:t>
            </w:r>
            <w:r>
              <w:rPr>
                <w:rFonts w:ascii="宋体" w:hAnsi="宋体" w:eastAsia="宋体" w:cs="宋体"/>
                <w:kern w:val="0"/>
                <w:sz w:val="21"/>
                <w:szCs w:val="24"/>
                <w:lang w:val="en-US" w:eastAsia="zh-CN" w:bidi="ar-SA"/>
              </w:rPr>
              <w:t>一般得</w:t>
            </w:r>
            <w:r>
              <w:rPr>
                <w:rFonts w:hint="eastAsia" w:ascii="宋体" w:hAnsi="宋体" w:eastAsia="宋体" w:cs="宋体"/>
                <w:kern w:val="0"/>
                <w:sz w:val="21"/>
                <w:szCs w:val="24"/>
                <w:lang w:val="en-US" w:eastAsia="zh-CN" w:bidi="ar-SA"/>
              </w:rPr>
              <w:t>0</w:t>
            </w:r>
            <w:r>
              <w:rPr>
                <w:rFonts w:ascii="宋体" w:hAnsi="宋体" w:eastAsia="宋体" w:cs="宋体"/>
                <w:kern w:val="0"/>
                <w:sz w:val="21"/>
                <w:szCs w:val="24"/>
                <w:lang w:val="en-US" w:eastAsia="zh-CN" w:bidi="ar-SA"/>
              </w:rPr>
              <w:t>-</w:t>
            </w:r>
            <w:r>
              <w:rPr>
                <w:rFonts w:hint="eastAsia" w:ascii="宋体" w:hAnsi="宋体" w:eastAsia="宋体" w:cs="宋体"/>
                <w:kern w:val="0"/>
                <w:sz w:val="21"/>
                <w:szCs w:val="24"/>
                <w:lang w:val="en-US" w:eastAsia="zh-CN" w:bidi="ar-SA"/>
              </w:rPr>
              <w:t>4</w:t>
            </w:r>
            <w:r>
              <w:rPr>
                <w:rFonts w:ascii="宋体" w:hAnsi="宋体" w:eastAsia="宋体" w:cs="宋体"/>
                <w:kern w:val="0"/>
                <w:sz w:val="21"/>
                <w:szCs w:val="24"/>
                <w:lang w:val="en-US" w:eastAsia="zh-CN" w:bidi="ar-SA"/>
              </w:rPr>
              <w:t xml:space="preserve">分。 </w:t>
            </w:r>
          </w:p>
        </w:tc>
      </w:tr>
      <w:tr w14:paraId="01F5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1039" w:type="dxa"/>
            <w:vMerge w:val="continue"/>
            <w:vAlign w:val="center"/>
          </w:tcPr>
          <w:p w14:paraId="4E02D41F">
            <w:pPr>
              <w:widowControl/>
              <w:rPr>
                <w:rFonts w:hint="eastAsia" w:ascii="宋体" w:hAnsi="宋体" w:cs="宋体"/>
                <w:b/>
                <w:bCs/>
                <w:color w:val="000000"/>
                <w:kern w:val="0"/>
                <w:sz w:val="21"/>
                <w:szCs w:val="21"/>
                <w:highlight w:val="none"/>
                <w:lang w:val="en-US" w:eastAsia="zh-CN"/>
              </w:rPr>
            </w:pPr>
          </w:p>
        </w:tc>
        <w:tc>
          <w:tcPr>
            <w:tcW w:w="2599" w:type="dxa"/>
            <w:vAlign w:val="center"/>
          </w:tcPr>
          <w:p w14:paraId="428B176E">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工程项目的重点难点和解决方案（15分）</w:t>
            </w:r>
          </w:p>
        </w:tc>
        <w:tc>
          <w:tcPr>
            <w:tcW w:w="6181" w:type="dxa"/>
            <w:vAlign w:val="center"/>
          </w:tcPr>
          <w:p w14:paraId="0F41F1E4">
            <w:pPr>
              <w:keepNext w:val="0"/>
              <w:keepLines w:val="0"/>
              <w:pageBreakBefore w:val="0"/>
              <w:widowControl/>
              <w:numPr>
                <w:ilvl w:val="0"/>
                <w:numId w:val="0"/>
              </w:numPr>
              <w:kinsoku/>
              <w:wordWrap/>
              <w:overflowPunct/>
              <w:topLinePunct w:val="0"/>
              <w:autoSpaceDE/>
              <w:autoSpaceDN/>
              <w:bidi w:val="0"/>
              <w:adjustRightInd/>
              <w:snapToGrid w:val="0"/>
              <w:spacing w:line="336" w:lineRule="auto"/>
              <w:ind w:left="0" w:leftChars="0" w:firstLine="0" w:firstLineChars="0"/>
              <w:textAlignment w:val="auto"/>
              <w:rPr>
                <w:rFonts w:hint="eastAsia" w:ascii="宋体" w:hAnsi="宋体" w:eastAsia="宋体" w:cs="宋体"/>
                <w:color w:val="000000"/>
                <w:kern w:val="0"/>
                <w:sz w:val="21"/>
                <w:szCs w:val="21"/>
                <w:highlight w:val="none"/>
                <w:lang w:val="en-US" w:eastAsia="zh-CN" w:bidi="ar-SA"/>
              </w:rPr>
            </w:pPr>
            <w:r>
              <w:rPr>
                <w:rFonts w:ascii="宋体" w:hAnsi="宋体" w:eastAsia="宋体" w:cs="宋体"/>
                <w:kern w:val="0"/>
                <w:sz w:val="21"/>
                <w:szCs w:val="24"/>
                <w:lang w:val="en-US" w:eastAsia="zh-CN" w:bidi="ar-SA"/>
              </w:rPr>
              <w:t>根据各方对本工程项目</w:t>
            </w:r>
            <w:r>
              <w:rPr>
                <w:rFonts w:hint="eastAsia" w:ascii="宋体" w:hAnsi="宋体" w:eastAsia="宋体" w:cs="宋体"/>
                <w:kern w:val="0"/>
                <w:sz w:val="21"/>
                <w:szCs w:val="24"/>
                <w:lang w:val="en-US" w:eastAsia="zh-CN" w:bidi="ar-SA"/>
              </w:rPr>
              <w:t>的</w:t>
            </w:r>
            <w:r>
              <w:rPr>
                <w:rFonts w:ascii="宋体" w:hAnsi="宋体" w:eastAsia="宋体" w:cs="宋体"/>
                <w:kern w:val="0"/>
                <w:sz w:val="21"/>
                <w:szCs w:val="24"/>
                <w:lang w:val="en-US" w:eastAsia="zh-CN" w:bidi="ar-SA"/>
              </w:rPr>
              <w:t>重点</w:t>
            </w:r>
            <w:r>
              <w:rPr>
                <w:rFonts w:hint="eastAsia" w:ascii="宋体" w:hAnsi="宋体" w:eastAsia="宋体" w:cs="宋体"/>
                <w:kern w:val="0"/>
                <w:sz w:val="21"/>
                <w:szCs w:val="24"/>
                <w:lang w:val="en-US" w:eastAsia="zh-CN" w:bidi="ar-SA"/>
              </w:rPr>
              <w:t>，</w:t>
            </w:r>
            <w:r>
              <w:rPr>
                <w:rFonts w:ascii="宋体" w:hAnsi="宋体" w:eastAsia="宋体" w:cs="宋体"/>
                <w:kern w:val="0"/>
                <w:sz w:val="21"/>
                <w:szCs w:val="24"/>
                <w:lang w:val="en-US" w:eastAsia="zh-CN" w:bidi="ar-SA"/>
              </w:rPr>
              <w:t>难点分析</w:t>
            </w:r>
            <w:r>
              <w:rPr>
                <w:rFonts w:hint="eastAsia" w:ascii="宋体" w:hAnsi="宋体" w:eastAsia="宋体" w:cs="宋体"/>
                <w:kern w:val="0"/>
                <w:sz w:val="21"/>
                <w:szCs w:val="24"/>
                <w:lang w:val="en-US" w:eastAsia="zh-CN" w:bidi="ar-SA"/>
              </w:rPr>
              <w:t>、解决方案针对性强的，得10-15分</w:t>
            </w:r>
            <w:r>
              <w:rPr>
                <w:rFonts w:ascii="宋体" w:hAnsi="宋体" w:eastAsia="宋体" w:cs="宋体"/>
                <w:kern w:val="0"/>
                <w:sz w:val="21"/>
                <w:szCs w:val="24"/>
                <w:lang w:val="en-US" w:eastAsia="zh-CN" w:bidi="ar-SA"/>
              </w:rPr>
              <w:t>，项目设计</w:t>
            </w:r>
            <w:r>
              <w:rPr>
                <w:rFonts w:hint="eastAsia" w:ascii="宋体" w:hAnsi="宋体" w:eastAsia="宋体" w:cs="宋体"/>
                <w:kern w:val="0"/>
                <w:sz w:val="21"/>
                <w:szCs w:val="24"/>
                <w:lang w:val="en-US" w:eastAsia="zh-CN" w:bidi="ar-SA"/>
              </w:rPr>
              <w:t>咨询方面</w:t>
            </w:r>
            <w:r>
              <w:rPr>
                <w:rFonts w:ascii="宋体" w:hAnsi="宋体" w:eastAsia="宋体" w:cs="宋体"/>
                <w:kern w:val="0"/>
                <w:sz w:val="21"/>
                <w:szCs w:val="24"/>
                <w:lang w:val="en-US" w:eastAsia="zh-CN" w:bidi="ar-SA"/>
              </w:rPr>
              <w:t>的重点、难点分析</w:t>
            </w:r>
            <w:r>
              <w:rPr>
                <w:rFonts w:hint="eastAsia" w:ascii="宋体" w:hAnsi="宋体" w:eastAsia="宋体" w:cs="宋体"/>
                <w:kern w:val="0"/>
                <w:sz w:val="21"/>
                <w:szCs w:val="24"/>
                <w:lang w:val="en-US" w:eastAsia="zh-CN" w:bidi="ar-SA"/>
              </w:rPr>
              <w:t>比较全面、比较</w:t>
            </w:r>
            <w:r>
              <w:rPr>
                <w:rFonts w:ascii="宋体" w:hAnsi="宋体" w:eastAsia="宋体" w:cs="宋体"/>
                <w:kern w:val="0"/>
                <w:sz w:val="21"/>
                <w:szCs w:val="24"/>
                <w:lang w:val="en-US" w:eastAsia="zh-CN" w:bidi="ar-SA"/>
              </w:rPr>
              <w:t>准确</w:t>
            </w:r>
            <w:r>
              <w:rPr>
                <w:rFonts w:hint="eastAsia" w:ascii="宋体" w:hAnsi="宋体" w:eastAsia="宋体" w:cs="宋体"/>
                <w:kern w:val="0"/>
                <w:sz w:val="21"/>
                <w:szCs w:val="24"/>
                <w:lang w:val="en-US" w:eastAsia="zh-CN" w:bidi="ar-SA"/>
              </w:rPr>
              <w:t>的5-9分</w:t>
            </w:r>
            <w:r>
              <w:rPr>
                <w:rFonts w:ascii="宋体" w:hAnsi="宋体" w:eastAsia="宋体" w:cs="宋体"/>
                <w:kern w:val="0"/>
                <w:sz w:val="21"/>
                <w:szCs w:val="24"/>
                <w:lang w:val="en-US" w:eastAsia="zh-CN" w:bidi="ar-SA"/>
              </w:rPr>
              <w:t>，设计</w:t>
            </w:r>
            <w:r>
              <w:rPr>
                <w:rFonts w:hint="eastAsia" w:ascii="宋体" w:hAnsi="宋体" w:eastAsia="宋体" w:cs="宋体"/>
                <w:kern w:val="0"/>
                <w:sz w:val="21"/>
                <w:szCs w:val="24"/>
                <w:lang w:val="en-US" w:eastAsia="zh-CN" w:bidi="ar-SA"/>
              </w:rPr>
              <w:t>咨询方面</w:t>
            </w:r>
            <w:r>
              <w:rPr>
                <w:rFonts w:ascii="宋体" w:hAnsi="宋体" w:eastAsia="宋体" w:cs="宋体"/>
                <w:kern w:val="0"/>
                <w:sz w:val="21"/>
                <w:szCs w:val="24"/>
                <w:lang w:val="en-US" w:eastAsia="zh-CN" w:bidi="ar-SA"/>
              </w:rPr>
              <w:t>的重点、难点分析</w:t>
            </w:r>
            <w:r>
              <w:rPr>
                <w:rFonts w:hint="eastAsia" w:ascii="宋体" w:hAnsi="宋体" w:eastAsia="宋体" w:cs="宋体"/>
                <w:kern w:val="0"/>
                <w:sz w:val="21"/>
                <w:szCs w:val="24"/>
                <w:lang w:val="en-US" w:eastAsia="zh-CN" w:bidi="ar-SA"/>
              </w:rPr>
              <w:t>不太全面、</w:t>
            </w:r>
            <w:r>
              <w:rPr>
                <w:rFonts w:ascii="宋体" w:hAnsi="宋体" w:eastAsia="宋体" w:cs="宋体"/>
                <w:kern w:val="0"/>
                <w:sz w:val="21"/>
                <w:szCs w:val="24"/>
                <w:lang w:val="en-US" w:eastAsia="zh-CN" w:bidi="ar-SA"/>
              </w:rPr>
              <w:t>解决措施方案</w:t>
            </w:r>
            <w:r>
              <w:rPr>
                <w:rFonts w:hint="eastAsia" w:ascii="宋体" w:hAnsi="宋体" w:eastAsia="宋体" w:cs="宋体"/>
                <w:kern w:val="0"/>
                <w:sz w:val="21"/>
                <w:szCs w:val="24"/>
                <w:lang w:val="en-US" w:eastAsia="zh-CN" w:bidi="ar-SA"/>
              </w:rPr>
              <w:t>针对性不强的得0-4分。</w:t>
            </w:r>
          </w:p>
        </w:tc>
      </w:tr>
      <w:tr w14:paraId="46CAF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9" w:type="dxa"/>
            <w:vMerge w:val="continue"/>
            <w:vAlign w:val="center"/>
          </w:tcPr>
          <w:p w14:paraId="4B888B15">
            <w:pPr>
              <w:widowControl/>
              <w:rPr>
                <w:rFonts w:hint="eastAsia" w:ascii="宋体" w:hAnsi="宋体" w:cs="宋体"/>
                <w:b/>
                <w:bCs/>
                <w:color w:val="000000"/>
                <w:kern w:val="0"/>
                <w:sz w:val="21"/>
                <w:szCs w:val="21"/>
                <w:highlight w:val="none"/>
                <w:lang w:val="en-US" w:eastAsia="zh-CN"/>
              </w:rPr>
            </w:pPr>
          </w:p>
        </w:tc>
        <w:tc>
          <w:tcPr>
            <w:tcW w:w="2599" w:type="dxa"/>
            <w:vAlign w:val="center"/>
          </w:tcPr>
          <w:p w14:paraId="1E6FA4D3">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 xml:space="preserve">质量保证及控制措施 </w:t>
            </w:r>
          </w:p>
          <w:p w14:paraId="15C734F6">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(10分)</w:t>
            </w:r>
          </w:p>
        </w:tc>
        <w:tc>
          <w:tcPr>
            <w:tcW w:w="6181" w:type="dxa"/>
            <w:vAlign w:val="center"/>
          </w:tcPr>
          <w:p w14:paraId="4B99AF66">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ascii="宋体" w:hAnsi="宋体" w:eastAsia="宋体" w:cs="宋体"/>
                <w:kern w:val="0"/>
                <w:sz w:val="21"/>
                <w:szCs w:val="24"/>
                <w:lang w:val="en-US" w:eastAsia="zh-CN" w:bidi="ar-SA"/>
              </w:rPr>
            </w:pPr>
            <w:r>
              <w:rPr>
                <w:rFonts w:ascii="宋体" w:hAnsi="宋体" w:eastAsia="宋体" w:cs="宋体"/>
                <w:kern w:val="0"/>
                <w:sz w:val="21"/>
                <w:szCs w:val="24"/>
                <w:lang w:val="en-US" w:eastAsia="zh-CN" w:bidi="ar-SA"/>
              </w:rPr>
              <w:t>质控目标明确、措施具体可行，得</w:t>
            </w:r>
            <w:r>
              <w:rPr>
                <w:rFonts w:hint="eastAsia" w:ascii="宋体" w:hAnsi="宋体" w:eastAsia="宋体" w:cs="宋体"/>
                <w:kern w:val="0"/>
                <w:sz w:val="21"/>
                <w:szCs w:val="24"/>
                <w:lang w:val="en-US" w:eastAsia="zh-CN" w:bidi="ar-SA"/>
              </w:rPr>
              <w:t>7-10分</w:t>
            </w:r>
            <w:r>
              <w:rPr>
                <w:rFonts w:ascii="宋体" w:hAnsi="宋体" w:eastAsia="宋体" w:cs="宋体"/>
                <w:kern w:val="0"/>
                <w:sz w:val="21"/>
                <w:szCs w:val="24"/>
                <w:lang w:val="en-US" w:eastAsia="zh-CN" w:bidi="ar-SA"/>
              </w:rPr>
              <w:t xml:space="preserve">； </w:t>
            </w:r>
          </w:p>
          <w:p w14:paraId="1EF9B26A">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hint="eastAsia" w:ascii="宋体" w:hAnsi="宋体" w:eastAsia="宋体" w:cs="宋体"/>
                <w:kern w:val="0"/>
                <w:sz w:val="21"/>
                <w:szCs w:val="24"/>
                <w:lang w:val="en-US" w:eastAsia="zh-CN" w:bidi="ar-SA"/>
              </w:rPr>
            </w:pPr>
            <w:r>
              <w:rPr>
                <w:rFonts w:ascii="宋体" w:hAnsi="宋体" w:eastAsia="宋体" w:cs="宋体"/>
                <w:kern w:val="0"/>
                <w:sz w:val="21"/>
                <w:szCs w:val="24"/>
                <w:lang w:val="en-US" w:eastAsia="zh-CN" w:bidi="ar-SA"/>
              </w:rPr>
              <w:t>质控目标较为明确、措施较为可行，得</w:t>
            </w:r>
            <w:r>
              <w:rPr>
                <w:rFonts w:hint="eastAsia" w:ascii="宋体" w:hAnsi="宋体" w:eastAsia="宋体" w:cs="宋体"/>
                <w:kern w:val="0"/>
                <w:sz w:val="21"/>
                <w:szCs w:val="24"/>
                <w:lang w:val="en-US" w:eastAsia="zh-CN" w:bidi="ar-SA"/>
              </w:rPr>
              <w:t>4-6分</w:t>
            </w:r>
            <w:r>
              <w:rPr>
                <w:rFonts w:ascii="宋体" w:hAnsi="宋体" w:eastAsia="宋体" w:cs="宋体"/>
                <w:kern w:val="0"/>
                <w:sz w:val="21"/>
                <w:szCs w:val="24"/>
                <w:lang w:val="en-US" w:eastAsia="zh-CN" w:bidi="ar-SA"/>
              </w:rPr>
              <w:t xml:space="preserve">； </w:t>
            </w:r>
          </w:p>
          <w:p w14:paraId="12747172">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hint="default" w:ascii="宋体" w:hAnsi="宋体" w:eastAsia="宋体" w:cs="宋体"/>
                <w:color w:val="000000"/>
                <w:kern w:val="0"/>
                <w:sz w:val="21"/>
                <w:szCs w:val="21"/>
                <w:highlight w:val="none"/>
                <w:lang w:val="en-US" w:eastAsia="zh-CN" w:bidi="ar-SA"/>
              </w:rPr>
            </w:pPr>
            <w:r>
              <w:rPr>
                <w:rFonts w:ascii="宋体" w:hAnsi="宋体" w:eastAsia="宋体" w:cs="宋体"/>
                <w:kern w:val="0"/>
                <w:sz w:val="21"/>
                <w:szCs w:val="24"/>
                <w:lang w:val="en-US" w:eastAsia="zh-CN" w:bidi="ar-SA"/>
              </w:rPr>
              <w:t>质控目标不明确、措施不可行，得</w:t>
            </w:r>
            <w:r>
              <w:rPr>
                <w:rFonts w:hint="eastAsia" w:ascii="宋体" w:hAnsi="宋体" w:eastAsia="宋体" w:cs="宋体"/>
                <w:kern w:val="0"/>
                <w:sz w:val="21"/>
                <w:szCs w:val="24"/>
                <w:lang w:val="en-US" w:eastAsia="zh-CN" w:bidi="ar-SA"/>
              </w:rPr>
              <w:t>1-3分</w:t>
            </w:r>
            <w:r>
              <w:rPr>
                <w:rFonts w:ascii="宋体" w:hAnsi="宋体" w:eastAsia="宋体" w:cs="宋体"/>
                <w:kern w:val="0"/>
                <w:sz w:val="21"/>
                <w:szCs w:val="24"/>
                <w:lang w:val="en-US" w:eastAsia="zh-CN" w:bidi="ar-SA"/>
              </w:rPr>
              <w:t>；</w:t>
            </w:r>
          </w:p>
        </w:tc>
      </w:tr>
      <w:tr w14:paraId="60185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39" w:type="dxa"/>
            <w:vMerge w:val="continue"/>
            <w:vAlign w:val="center"/>
          </w:tcPr>
          <w:p w14:paraId="2BA1C317">
            <w:pPr>
              <w:widowControl/>
              <w:rPr>
                <w:rFonts w:hint="eastAsia" w:ascii="宋体" w:hAnsi="宋体" w:cs="宋体"/>
                <w:b/>
                <w:bCs/>
                <w:color w:val="000000"/>
                <w:kern w:val="0"/>
                <w:sz w:val="21"/>
                <w:szCs w:val="21"/>
                <w:highlight w:val="none"/>
                <w:lang w:val="en-US" w:eastAsia="zh-CN"/>
              </w:rPr>
            </w:pPr>
          </w:p>
        </w:tc>
        <w:tc>
          <w:tcPr>
            <w:tcW w:w="2599" w:type="dxa"/>
            <w:vAlign w:val="center"/>
          </w:tcPr>
          <w:p w14:paraId="120C05E7">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 xml:space="preserve">进度保证及控制措施 </w:t>
            </w:r>
          </w:p>
          <w:p w14:paraId="1FBF293B">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 xml:space="preserve">(10分) </w:t>
            </w:r>
          </w:p>
        </w:tc>
        <w:tc>
          <w:tcPr>
            <w:tcW w:w="6181" w:type="dxa"/>
            <w:vAlign w:val="center"/>
          </w:tcPr>
          <w:p w14:paraId="12307CD8">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1、</w:t>
            </w:r>
            <w:r>
              <w:rPr>
                <w:rFonts w:ascii="宋体" w:hAnsi="宋体" w:eastAsia="宋体" w:cs="宋体"/>
                <w:kern w:val="0"/>
                <w:sz w:val="21"/>
                <w:szCs w:val="24"/>
                <w:lang w:val="en-US" w:eastAsia="zh-CN" w:bidi="ar-SA"/>
              </w:rPr>
              <w:t>进度计划科学、服务期控制点设置合理的得</w:t>
            </w:r>
            <w:r>
              <w:rPr>
                <w:rFonts w:hint="eastAsia" w:ascii="宋体" w:hAnsi="宋体" w:eastAsia="宋体" w:cs="宋体"/>
                <w:kern w:val="0"/>
                <w:sz w:val="21"/>
                <w:szCs w:val="24"/>
                <w:lang w:val="en-US" w:eastAsia="zh-CN" w:bidi="ar-SA"/>
              </w:rPr>
              <w:t>7</w:t>
            </w:r>
            <w:r>
              <w:rPr>
                <w:rFonts w:ascii="宋体" w:hAnsi="宋体" w:eastAsia="宋体" w:cs="宋体"/>
                <w:kern w:val="0"/>
                <w:sz w:val="21"/>
                <w:szCs w:val="24"/>
                <w:lang w:val="en-US" w:eastAsia="zh-CN" w:bidi="ar-SA"/>
              </w:rPr>
              <w:t>-1</w:t>
            </w:r>
            <w:r>
              <w:rPr>
                <w:rFonts w:hint="eastAsia" w:ascii="宋体" w:hAnsi="宋体" w:eastAsia="宋体" w:cs="宋体"/>
                <w:kern w:val="0"/>
                <w:sz w:val="21"/>
                <w:szCs w:val="24"/>
                <w:lang w:val="en-US" w:eastAsia="zh-CN" w:bidi="ar-SA"/>
              </w:rPr>
              <w:t>0</w:t>
            </w:r>
            <w:r>
              <w:rPr>
                <w:rFonts w:ascii="宋体" w:hAnsi="宋体" w:eastAsia="宋体" w:cs="宋体"/>
                <w:kern w:val="0"/>
                <w:sz w:val="21"/>
                <w:szCs w:val="24"/>
                <w:lang w:val="en-US" w:eastAsia="zh-CN" w:bidi="ar-SA"/>
              </w:rPr>
              <w:t xml:space="preserve">分； </w:t>
            </w:r>
          </w:p>
          <w:p w14:paraId="6384147D">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ascii="宋体" w:hAnsi="宋体" w:eastAsia="宋体" w:cs="宋体"/>
                <w:kern w:val="0"/>
                <w:sz w:val="21"/>
                <w:szCs w:val="24"/>
                <w:lang w:val="en-US" w:eastAsia="zh-CN" w:bidi="ar-SA"/>
              </w:rPr>
            </w:pPr>
            <w:r>
              <w:rPr>
                <w:rFonts w:hint="eastAsia" w:ascii="宋体" w:hAnsi="宋体" w:eastAsia="宋体" w:cs="宋体"/>
                <w:kern w:val="0"/>
                <w:sz w:val="21"/>
                <w:szCs w:val="24"/>
                <w:lang w:val="en-US" w:eastAsia="zh-CN" w:bidi="ar-SA"/>
              </w:rPr>
              <w:t>2、</w:t>
            </w:r>
            <w:r>
              <w:rPr>
                <w:rFonts w:ascii="宋体" w:hAnsi="宋体" w:eastAsia="宋体" w:cs="宋体"/>
                <w:kern w:val="0"/>
                <w:sz w:val="21"/>
                <w:szCs w:val="24"/>
                <w:lang w:val="en-US" w:eastAsia="zh-CN" w:bidi="ar-SA"/>
              </w:rPr>
              <w:t>进度计划科学、服务期控制点设置较为可行的得</w:t>
            </w:r>
            <w:r>
              <w:rPr>
                <w:rFonts w:hint="eastAsia" w:ascii="宋体" w:hAnsi="宋体" w:eastAsia="宋体" w:cs="宋体"/>
                <w:kern w:val="0"/>
                <w:sz w:val="21"/>
                <w:szCs w:val="24"/>
                <w:lang w:val="en-US" w:eastAsia="zh-CN" w:bidi="ar-SA"/>
              </w:rPr>
              <w:t>4</w:t>
            </w:r>
            <w:r>
              <w:rPr>
                <w:rFonts w:ascii="宋体" w:hAnsi="宋体" w:eastAsia="宋体" w:cs="宋体"/>
                <w:kern w:val="0"/>
                <w:sz w:val="21"/>
                <w:szCs w:val="24"/>
                <w:lang w:val="en-US" w:eastAsia="zh-CN" w:bidi="ar-SA"/>
              </w:rPr>
              <w:t>-</w:t>
            </w:r>
            <w:r>
              <w:rPr>
                <w:rFonts w:hint="eastAsia" w:ascii="宋体" w:hAnsi="宋体" w:eastAsia="宋体" w:cs="宋体"/>
                <w:kern w:val="0"/>
                <w:sz w:val="21"/>
                <w:szCs w:val="24"/>
                <w:lang w:val="en-US" w:eastAsia="zh-CN" w:bidi="ar-SA"/>
              </w:rPr>
              <w:t>6</w:t>
            </w:r>
            <w:r>
              <w:rPr>
                <w:rFonts w:ascii="宋体" w:hAnsi="宋体" w:eastAsia="宋体" w:cs="宋体"/>
                <w:kern w:val="0"/>
                <w:sz w:val="21"/>
                <w:szCs w:val="24"/>
                <w:lang w:val="en-US" w:eastAsia="zh-CN" w:bidi="ar-SA"/>
              </w:rPr>
              <w:t xml:space="preserve">分； </w:t>
            </w:r>
          </w:p>
          <w:p w14:paraId="646F5CAF">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kern w:val="0"/>
                <w:sz w:val="21"/>
                <w:szCs w:val="24"/>
                <w:lang w:val="en-US" w:eastAsia="zh-CN" w:bidi="ar-SA"/>
              </w:rPr>
              <w:t>3、</w:t>
            </w:r>
            <w:r>
              <w:rPr>
                <w:rFonts w:ascii="宋体" w:hAnsi="宋体" w:eastAsia="宋体" w:cs="宋体"/>
                <w:kern w:val="0"/>
                <w:sz w:val="21"/>
                <w:szCs w:val="24"/>
                <w:lang w:val="en-US" w:eastAsia="zh-CN" w:bidi="ar-SA"/>
              </w:rPr>
              <w:t xml:space="preserve">进度计划科学、服务期控制点设置基本满足要求的得 </w:t>
            </w:r>
            <w:r>
              <w:rPr>
                <w:rFonts w:hint="eastAsia" w:ascii="宋体" w:hAnsi="宋体" w:eastAsia="宋体" w:cs="宋体"/>
                <w:kern w:val="0"/>
                <w:sz w:val="21"/>
                <w:szCs w:val="24"/>
                <w:lang w:val="en-US" w:eastAsia="zh-CN" w:bidi="ar-SA"/>
              </w:rPr>
              <w:t>1</w:t>
            </w:r>
            <w:r>
              <w:rPr>
                <w:rFonts w:ascii="宋体" w:hAnsi="宋体" w:eastAsia="宋体" w:cs="宋体"/>
                <w:kern w:val="0"/>
                <w:sz w:val="21"/>
                <w:szCs w:val="24"/>
                <w:lang w:val="en-US" w:eastAsia="zh-CN" w:bidi="ar-SA"/>
              </w:rPr>
              <w:t>-</w:t>
            </w:r>
            <w:r>
              <w:rPr>
                <w:rFonts w:hint="eastAsia" w:ascii="宋体" w:hAnsi="宋体" w:eastAsia="宋体" w:cs="宋体"/>
                <w:kern w:val="0"/>
                <w:sz w:val="21"/>
                <w:szCs w:val="24"/>
                <w:lang w:val="en-US" w:eastAsia="zh-CN" w:bidi="ar-SA"/>
              </w:rPr>
              <w:t>3</w:t>
            </w:r>
            <w:r>
              <w:rPr>
                <w:rFonts w:ascii="宋体" w:hAnsi="宋体" w:eastAsia="宋体" w:cs="宋体"/>
                <w:kern w:val="0"/>
                <w:sz w:val="21"/>
                <w:szCs w:val="24"/>
                <w:lang w:val="en-US" w:eastAsia="zh-CN" w:bidi="ar-SA"/>
              </w:rPr>
              <w:t>分；</w:t>
            </w:r>
          </w:p>
        </w:tc>
      </w:tr>
      <w:tr w14:paraId="1A6D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039" w:type="dxa"/>
            <w:vMerge w:val="continue"/>
            <w:vAlign w:val="center"/>
          </w:tcPr>
          <w:p w14:paraId="00090D99">
            <w:pPr>
              <w:widowControl/>
              <w:ind w:leftChars="0"/>
            </w:pPr>
          </w:p>
        </w:tc>
        <w:tc>
          <w:tcPr>
            <w:tcW w:w="2599" w:type="dxa"/>
            <w:vAlign w:val="center"/>
          </w:tcPr>
          <w:p w14:paraId="23C97C17">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售后服务保证措施及承诺 (10分)</w:t>
            </w:r>
          </w:p>
        </w:tc>
        <w:tc>
          <w:tcPr>
            <w:tcW w:w="6181" w:type="dxa"/>
            <w:vAlign w:val="center"/>
          </w:tcPr>
          <w:p w14:paraId="090E69CE">
            <w:pPr>
              <w:keepNext w:val="0"/>
              <w:keepLines w:val="0"/>
              <w:pageBreakBefore w:val="0"/>
              <w:widowControl/>
              <w:kinsoku/>
              <w:wordWrap/>
              <w:overflowPunct/>
              <w:topLinePunct w:val="0"/>
              <w:autoSpaceDE/>
              <w:autoSpaceDN/>
              <w:bidi w:val="0"/>
              <w:adjustRightInd/>
              <w:snapToGrid w:val="0"/>
              <w:spacing w:line="336" w:lineRule="auto"/>
              <w:jc w:val="left"/>
              <w:textAlignment w:val="auto"/>
              <w:rPr>
                <w:rFonts w:hint="eastAsia" w:ascii="宋体" w:hAnsi="宋体" w:eastAsia="宋体" w:cs="宋体"/>
                <w:color w:val="000000"/>
                <w:kern w:val="0"/>
                <w:sz w:val="21"/>
                <w:szCs w:val="21"/>
                <w:highlight w:val="none"/>
                <w:lang w:val="en-US" w:eastAsia="zh-CN" w:bidi="ar-SA"/>
              </w:rPr>
            </w:pPr>
            <w:r>
              <w:rPr>
                <w:rFonts w:hint="eastAsia" w:ascii="宋体" w:hAnsi="宋体" w:cs="宋体"/>
                <w:color w:val="000000"/>
                <w:kern w:val="0"/>
                <w:sz w:val="21"/>
                <w:szCs w:val="21"/>
                <w:highlight w:val="none"/>
                <w:lang w:val="en-US" w:eastAsia="zh-CN" w:bidi="ar-SA"/>
              </w:rPr>
              <w:t>售后</w:t>
            </w:r>
            <w:r>
              <w:rPr>
                <w:rFonts w:hint="eastAsia" w:ascii="宋体" w:hAnsi="宋体" w:eastAsia="宋体" w:cs="宋体"/>
                <w:color w:val="000000"/>
                <w:kern w:val="0"/>
                <w:sz w:val="21"/>
                <w:szCs w:val="21"/>
                <w:highlight w:val="none"/>
                <w:lang w:val="en-US" w:eastAsia="zh-CN" w:bidi="ar-SA"/>
              </w:rPr>
              <w:t>服务的时间为从交初稿至本次招标范围验收合格为止的人员安排，服务点情况、报批及汇报情况的安排，包括补充修改完善成果文件在内的时间响应情况和保证措施，以及相应的承诺进行打分。 1、后续服务和保证措施合理、完善、详尽得7-10分； 2、后续服务和保证措施基本 合理、完善、详尽得4-6分； 3、后续服务和保证措施合理性和可行性较差 得0-3分。</w:t>
            </w:r>
          </w:p>
        </w:tc>
      </w:tr>
      <w:tr w14:paraId="6A771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39" w:type="dxa"/>
            <w:vMerge w:val="restart"/>
            <w:vAlign w:val="center"/>
          </w:tcPr>
          <w:p w14:paraId="12DC9B8E">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商</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务</w:t>
            </w:r>
          </w:p>
          <w:p w14:paraId="14B707E9">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部</w:t>
            </w:r>
            <w:r>
              <w:rPr>
                <w:rFonts w:hint="eastAsia" w:ascii="宋体" w:hAnsi="宋体" w:cs="宋体"/>
                <w:b/>
                <w:bCs/>
                <w:color w:val="000000"/>
                <w:kern w:val="0"/>
                <w:sz w:val="21"/>
                <w:szCs w:val="21"/>
                <w:highlight w:val="none"/>
                <w:lang w:val="en-US" w:eastAsia="zh-CN"/>
              </w:rPr>
              <w:t xml:space="preserve"> </w:t>
            </w:r>
            <w:r>
              <w:rPr>
                <w:rFonts w:hint="eastAsia" w:ascii="宋体" w:hAnsi="宋体" w:cs="宋体"/>
                <w:b/>
                <w:bCs/>
                <w:color w:val="000000"/>
                <w:kern w:val="0"/>
                <w:sz w:val="21"/>
                <w:szCs w:val="21"/>
                <w:highlight w:val="none"/>
              </w:rPr>
              <w:t>分</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10分</w:t>
            </w:r>
            <w:r>
              <w:rPr>
                <w:rFonts w:hint="eastAsia" w:ascii="宋体" w:hAnsi="宋体" w:cs="宋体"/>
                <w:b/>
                <w:bCs/>
                <w:color w:val="000000"/>
                <w:kern w:val="0"/>
                <w:sz w:val="21"/>
                <w:szCs w:val="21"/>
                <w:highlight w:val="none"/>
                <w:lang w:eastAsia="zh-CN"/>
              </w:rPr>
              <w:t>）</w:t>
            </w:r>
          </w:p>
        </w:tc>
        <w:tc>
          <w:tcPr>
            <w:tcW w:w="2599" w:type="dxa"/>
            <w:vAlign w:val="center"/>
          </w:tcPr>
          <w:p w14:paraId="5C6B5D81">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项目负责人（3分）</w:t>
            </w:r>
          </w:p>
        </w:tc>
        <w:tc>
          <w:tcPr>
            <w:tcW w:w="6181" w:type="dxa"/>
            <w:vAlign w:val="center"/>
          </w:tcPr>
          <w:p w14:paraId="37D0C3F4">
            <w:pPr>
              <w:rPr>
                <w:rFonts w:hint="eastAsia" w:ascii="宋体" w:hAnsi="宋体" w:eastAsia="宋体" w:cs="宋体"/>
                <w:color w:val="000000"/>
                <w:kern w:val="0"/>
                <w:sz w:val="21"/>
                <w:szCs w:val="21"/>
                <w:highlight w:val="none"/>
                <w:lang w:val="en-US" w:eastAsia="zh-CN" w:bidi="ar-SA"/>
              </w:rPr>
            </w:pPr>
            <w:r>
              <w:t>拟派本工程项目负责人</w:t>
            </w:r>
            <w:r>
              <w:rPr>
                <w:rFonts w:hint="eastAsia"/>
              </w:rPr>
              <w:t>具有</w:t>
            </w:r>
            <w:r>
              <w:rPr>
                <w:rFonts w:hint="eastAsia"/>
                <w:lang w:val="en-US" w:eastAsia="zh-CN"/>
              </w:rPr>
              <w:t>相关专业副</w:t>
            </w:r>
            <w:r>
              <w:rPr>
                <w:rFonts w:hint="eastAsia"/>
              </w:rPr>
              <w:t>高</w:t>
            </w:r>
            <w:r>
              <w:t>级（含）以上职称</w:t>
            </w:r>
            <w:r>
              <w:rPr>
                <w:rFonts w:hint="eastAsia"/>
                <w:lang w:eastAsia="zh-CN"/>
              </w:rPr>
              <w:t>，</w:t>
            </w:r>
            <w:r>
              <w:rPr>
                <w:rFonts w:hint="eastAsia"/>
              </w:rPr>
              <w:t>得3分</w:t>
            </w:r>
            <w:r>
              <w:rPr>
                <w:rFonts w:hint="eastAsia"/>
                <w:lang w:eastAsia="zh-CN"/>
              </w:rPr>
              <w:t>；</w:t>
            </w:r>
            <w:r>
              <w:rPr>
                <w:rFonts w:hint="eastAsia"/>
                <w:lang w:val="en-US" w:eastAsia="zh-CN"/>
              </w:rPr>
              <w:t>相关专业中级职称，得2分；未提供不得分</w:t>
            </w:r>
            <w:r>
              <w:t>（以职称证为准，投标文件须附职称证复印件）。</w:t>
            </w:r>
          </w:p>
        </w:tc>
      </w:tr>
      <w:tr w14:paraId="700B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039" w:type="dxa"/>
            <w:vMerge w:val="continue"/>
            <w:vAlign w:val="center"/>
          </w:tcPr>
          <w:p w14:paraId="518A9269">
            <w:pPr>
              <w:widowControl/>
              <w:jc w:val="center"/>
              <w:rPr>
                <w:rFonts w:hint="eastAsia" w:ascii="宋体" w:hAnsi="宋体" w:cs="宋体"/>
                <w:b/>
                <w:bCs/>
                <w:color w:val="000000"/>
                <w:kern w:val="0"/>
                <w:sz w:val="21"/>
                <w:szCs w:val="21"/>
                <w:highlight w:val="none"/>
              </w:rPr>
            </w:pPr>
          </w:p>
        </w:tc>
        <w:tc>
          <w:tcPr>
            <w:tcW w:w="2599" w:type="dxa"/>
            <w:vAlign w:val="center"/>
          </w:tcPr>
          <w:p w14:paraId="7945A312">
            <w:pPr>
              <w:rPr>
                <w:rFonts w:hint="default" w:ascii="Times New Roman" w:hAnsi="Times New Roman" w:eastAsia="宋体" w:cs="Times New Roman"/>
                <w:lang w:val="en-US" w:eastAsia="zh-CN"/>
              </w:rPr>
            </w:pPr>
            <w:r>
              <w:rPr>
                <w:rFonts w:hint="eastAsia" w:ascii="宋体" w:hAnsi="宋体" w:eastAsia="宋体" w:cs="宋体"/>
                <w:b/>
                <w:bCs/>
                <w:color w:val="000000"/>
                <w:kern w:val="0"/>
                <w:sz w:val="21"/>
                <w:szCs w:val="21"/>
                <w:highlight w:val="none"/>
                <w:lang w:val="en-US" w:eastAsia="zh-CN" w:bidi="ar-SA"/>
              </w:rPr>
              <w:t>人员配备（3分）</w:t>
            </w:r>
          </w:p>
        </w:tc>
        <w:tc>
          <w:tcPr>
            <w:tcW w:w="6181" w:type="dxa"/>
            <w:vAlign w:val="center"/>
          </w:tcPr>
          <w:p w14:paraId="73DC7903">
            <w:pPr>
              <w:rPr>
                <w:rFonts w:hint="eastAsia" w:ascii="Times New Roman" w:hAnsi="Times New Roman" w:eastAsia="宋体" w:cs="Times New Roman"/>
              </w:rPr>
            </w:pPr>
            <w:r>
              <w:rPr>
                <w:rFonts w:ascii="Times New Roman" w:hAnsi="Times New Roman" w:eastAsia="宋体" w:cs="Times New Roman"/>
              </w:rPr>
              <w:t>拟派项目组成员</w:t>
            </w:r>
            <w:r>
              <w:rPr>
                <w:rFonts w:hint="eastAsia" w:ascii="Times New Roman" w:hAnsi="Times New Roman" w:eastAsia="宋体" w:cs="Times New Roman"/>
                <w:lang w:val="en-US" w:eastAsia="zh-CN"/>
              </w:rPr>
              <w:t>每多配备一名</w:t>
            </w:r>
            <w:r>
              <w:rPr>
                <w:rFonts w:ascii="Times New Roman" w:hAnsi="Times New Roman" w:eastAsia="宋体" w:cs="Times New Roman"/>
              </w:rPr>
              <w:t>具有中级</w:t>
            </w:r>
            <w:r>
              <w:rPr>
                <w:rFonts w:hint="eastAsia" w:ascii="Times New Roman" w:hAnsi="Times New Roman" w:eastAsia="宋体" w:cs="Times New Roman"/>
              </w:rPr>
              <w:t>（含）</w:t>
            </w:r>
            <w:r>
              <w:rPr>
                <w:rFonts w:ascii="Times New Roman" w:hAnsi="Times New Roman" w:eastAsia="宋体" w:cs="Times New Roman"/>
              </w:rPr>
              <w:t>以上职称的</w:t>
            </w:r>
            <w:r>
              <w:rPr>
                <w:rFonts w:hint="eastAsia" w:ascii="Times New Roman" w:hAnsi="Times New Roman" w:eastAsia="宋体" w:cs="Times New Roman"/>
                <w:lang w:val="en-US" w:eastAsia="zh-CN"/>
              </w:rPr>
              <w:t>人员，得1.0分</w:t>
            </w:r>
            <w:r>
              <w:rPr>
                <w:rFonts w:hint="eastAsia" w:ascii="Times New Roman" w:hAnsi="Times New Roman" w:eastAsia="宋体" w:cs="Times New Roman"/>
              </w:rPr>
              <w:t>，</w:t>
            </w:r>
            <w:r>
              <w:rPr>
                <w:rFonts w:ascii="Times New Roman" w:hAnsi="Times New Roman" w:eastAsia="宋体" w:cs="Times New Roman"/>
              </w:rPr>
              <w:t>最高得3</w:t>
            </w:r>
            <w:r>
              <w:rPr>
                <w:rFonts w:hint="eastAsia" w:ascii="Times New Roman" w:hAnsi="Times New Roman" w:eastAsia="宋体" w:cs="Times New Roman"/>
                <w:lang w:val="en-US" w:eastAsia="zh-CN"/>
              </w:rPr>
              <w:t>.0</w:t>
            </w:r>
            <w:r>
              <w:rPr>
                <w:rFonts w:ascii="Times New Roman" w:hAnsi="Times New Roman" w:eastAsia="宋体" w:cs="Times New Roman"/>
              </w:rPr>
              <w:t>分</w:t>
            </w:r>
            <w:r>
              <w:rPr>
                <w:rFonts w:hint="eastAsia" w:ascii="Times New Roman" w:hAnsi="Times New Roman" w:eastAsia="宋体" w:cs="Times New Roman"/>
              </w:rPr>
              <w:t>（以职称证为准，投标文件须附职称证复印件）</w:t>
            </w:r>
          </w:p>
          <w:p w14:paraId="44F35F3F">
            <w:pP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注：上述所配人员年龄不得超过65周岁，须提供递交比选投标文件截止之日前一年内任意一个月的以投标单位所属社保机构出具(新入职人员要求提供入职时至投标截止日期前)的社保缴费证明(并加盖缴费证明专用章)或其他能够证明参加社保的有效证明材料为准，退休人员无需提供社保缴费证明，须提供有效的与聘用单位签订的聘用劳动合同及退休证明（投标文件需附相关证明资料复印件）。</w:t>
            </w:r>
          </w:p>
        </w:tc>
      </w:tr>
      <w:tr w14:paraId="2206F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jc w:val="center"/>
        </w:trPr>
        <w:tc>
          <w:tcPr>
            <w:tcW w:w="1039" w:type="dxa"/>
            <w:vMerge w:val="continue"/>
            <w:vAlign w:val="center"/>
          </w:tcPr>
          <w:p w14:paraId="48D6D5BD">
            <w:pPr>
              <w:widowControl/>
              <w:rPr>
                <w:rFonts w:hint="eastAsia" w:ascii="宋体" w:hAnsi="宋体" w:cs="宋体"/>
                <w:b/>
                <w:bCs/>
                <w:color w:val="000000"/>
                <w:kern w:val="0"/>
                <w:sz w:val="21"/>
                <w:szCs w:val="21"/>
                <w:highlight w:val="none"/>
              </w:rPr>
            </w:pPr>
          </w:p>
        </w:tc>
        <w:tc>
          <w:tcPr>
            <w:tcW w:w="2599" w:type="dxa"/>
            <w:vAlign w:val="center"/>
          </w:tcPr>
          <w:p w14:paraId="7B442F2A">
            <w:pPr>
              <w:keepNext w:val="0"/>
              <w:keepLines w:val="0"/>
              <w:pageBreakBefore w:val="0"/>
              <w:widowControl/>
              <w:kinsoku/>
              <w:wordWrap/>
              <w:overflowPunct/>
              <w:topLinePunct w:val="0"/>
              <w:autoSpaceDE/>
              <w:autoSpaceDN/>
              <w:bidi w:val="0"/>
              <w:adjustRightInd/>
              <w:snapToGrid w:val="0"/>
              <w:spacing w:line="336" w:lineRule="auto"/>
              <w:jc w:val="center"/>
              <w:textAlignment w:val="auto"/>
              <w:rPr>
                <w:rFonts w:hint="eastAsia" w:ascii="宋体" w:hAnsi="宋体" w:eastAsia="宋体" w:cs="宋体"/>
                <w:b/>
                <w:bCs/>
                <w:color w:val="000000"/>
                <w:kern w:val="0"/>
                <w:sz w:val="21"/>
                <w:szCs w:val="21"/>
                <w:highlight w:val="none"/>
                <w:lang w:val="en-US" w:eastAsia="zh-CN" w:bidi="ar-SA"/>
              </w:rPr>
            </w:pPr>
            <w:r>
              <w:rPr>
                <w:rFonts w:hint="eastAsia" w:ascii="宋体" w:hAnsi="宋体" w:eastAsia="宋体" w:cs="宋体"/>
                <w:b/>
                <w:bCs/>
                <w:color w:val="000000"/>
                <w:kern w:val="0"/>
                <w:sz w:val="21"/>
                <w:szCs w:val="21"/>
                <w:highlight w:val="none"/>
                <w:lang w:val="en-US" w:eastAsia="zh-CN" w:bidi="ar-SA"/>
              </w:rPr>
              <w:t>项目负责人业绩（4分）</w:t>
            </w:r>
          </w:p>
        </w:tc>
        <w:tc>
          <w:tcPr>
            <w:tcW w:w="6181" w:type="dxa"/>
            <w:vAlign w:val="center"/>
          </w:tcPr>
          <w:p w14:paraId="790C6DB1">
            <w:pPr>
              <w:rPr>
                <w:rFonts w:hint="eastAsia" w:ascii="宋体" w:hAnsi="宋体" w:eastAsia="宋体" w:cs="宋体"/>
                <w:color w:val="000000"/>
                <w:kern w:val="0"/>
                <w:sz w:val="21"/>
                <w:szCs w:val="21"/>
                <w:highlight w:val="none"/>
                <w:lang w:val="en-US" w:eastAsia="zh-CN" w:bidi="ar-SA"/>
              </w:rPr>
            </w:pPr>
            <w:r>
              <w:rPr>
                <w:rFonts w:hint="eastAsia"/>
                <w:lang w:val="en-US" w:eastAsia="zh-CN"/>
              </w:rPr>
              <w:t>项目负责人近年（</w:t>
            </w:r>
            <w:r>
              <w:rPr>
                <w:rFonts w:hint="eastAsia"/>
              </w:rPr>
              <w:t>202</w:t>
            </w:r>
            <w:r>
              <w:rPr>
                <w:rFonts w:hint="eastAsia"/>
                <w:lang w:val="en-US" w:eastAsia="zh-CN"/>
              </w:rPr>
              <w:t>2</w:t>
            </w:r>
            <w:r>
              <w:rPr>
                <w:rFonts w:hint="eastAsia"/>
              </w:rPr>
              <w:t>年</w:t>
            </w:r>
            <w:r>
              <w:rPr>
                <w:rFonts w:hint="eastAsia"/>
                <w:lang w:val="en-US" w:eastAsia="zh-CN"/>
              </w:rPr>
              <w:t>1月1日</w:t>
            </w:r>
            <w:bookmarkStart w:id="0" w:name="_GoBack"/>
            <w:bookmarkEnd w:id="0"/>
            <w:r>
              <w:rPr>
                <w:rFonts w:hint="eastAsia"/>
              </w:rPr>
              <w:t>至今</w:t>
            </w:r>
            <w:r>
              <w:rPr>
                <w:rFonts w:hint="eastAsia"/>
                <w:lang w:eastAsia="zh-CN"/>
              </w:rPr>
              <w:t>，</w:t>
            </w:r>
            <w:r>
              <w:rPr>
                <w:rFonts w:hint="eastAsia"/>
              </w:rPr>
              <w:t>以合同签订时间为准），每</w:t>
            </w:r>
            <w:r>
              <w:rPr>
                <w:rFonts w:hint="eastAsia"/>
                <w:lang w:val="en-US" w:eastAsia="zh-CN"/>
              </w:rPr>
              <w:t>担任过</w:t>
            </w:r>
            <w:r>
              <w:rPr>
                <w:rFonts w:hint="eastAsia"/>
              </w:rPr>
              <w:t>一项类似项目业绩得</w:t>
            </w:r>
            <w:r>
              <w:rPr>
                <w:rFonts w:hint="eastAsia"/>
                <w:lang w:val="en-US" w:eastAsia="zh-CN"/>
              </w:rPr>
              <w:t>2</w:t>
            </w:r>
            <w:r>
              <w:rPr>
                <w:rFonts w:hint="eastAsia"/>
              </w:rPr>
              <w:t>分，最高得4分（投标文件须附合同</w:t>
            </w:r>
            <w:r>
              <w:rPr>
                <w:rFonts w:hint="eastAsia"/>
                <w:lang w:val="en-US" w:eastAsia="zh-CN"/>
              </w:rPr>
              <w:t>复印</w:t>
            </w:r>
            <w:r>
              <w:rPr>
                <w:rFonts w:hint="eastAsia"/>
              </w:rPr>
              <w:t>件）</w:t>
            </w:r>
          </w:p>
        </w:tc>
      </w:tr>
      <w:tr w14:paraId="71D43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1039" w:type="dxa"/>
            <w:vAlign w:val="center"/>
          </w:tcPr>
          <w:p w14:paraId="2DECBA54">
            <w:pPr>
              <w:widowControl/>
              <w:jc w:val="center"/>
              <w:rPr>
                <w:rFonts w:hint="eastAsia" w:ascii="宋体" w:hAnsi="宋体" w:cs="宋体"/>
                <w:b/>
                <w:bCs/>
                <w:color w:val="000000"/>
                <w:kern w:val="0"/>
                <w:sz w:val="21"/>
                <w:szCs w:val="21"/>
                <w:highlight w:val="none"/>
              </w:rPr>
            </w:pPr>
            <w:r>
              <w:rPr>
                <w:rFonts w:hint="eastAsia" w:ascii="宋体" w:hAnsi="宋体" w:cs="宋体"/>
                <w:b/>
                <w:bCs/>
                <w:color w:val="000000"/>
                <w:kern w:val="0"/>
                <w:sz w:val="21"/>
                <w:szCs w:val="21"/>
                <w:highlight w:val="none"/>
              </w:rPr>
              <w:t>投 标</w:t>
            </w:r>
          </w:p>
          <w:p w14:paraId="7CDDABE4">
            <w:pPr>
              <w:widowControl/>
              <w:jc w:val="center"/>
              <w:rPr>
                <w:rFonts w:hint="eastAsia" w:ascii="宋体" w:hAnsi="宋体" w:eastAsia="宋体" w:cs="宋体"/>
                <w:b/>
                <w:bCs/>
                <w:color w:val="000000"/>
                <w:kern w:val="0"/>
                <w:sz w:val="21"/>
                <w:szCs w:val="21"/>
                <w:highlight w:val="none"/>
                <w:lang w:eastAsia="zh-CN"/>
              </w:rPr>
            </w:pPr>
            <w:r>
              <w:rPr>
                <w:rFonts w:hint="eastAsia" w:ascii="宋体" w:hAnsi="宋体" w:cs="宋体"/>
                <w:b/>
                <w:bCs/>
                <w:color w:val="000000"/>
                <w:kern w:val="0"/>
                <w:sz w:val="21"/>
                <w:szCs w:val="21"/>
                <w:highlight w:val="none"/>
              </w:rPr>
              <w:t>报 价</w:t>
            </w:r>
            <w:r>
              <w:rPr>
                <w:rFonts w:hint="eastAsia" w:ascii="宋体" w:hAnsi="宋体" w:cs="宋体"/>
                <w:b/>
                <w:bCs/>
                <w:color w:val="000000"/>
                <w:kern w:val="0"/>
                <w:sz w:val="21"/>
                <w:szCs w:val="21"/>
                <w:highlight w:val="none"/>
                <w:lang w:eastAsia="zh-CN"/>
              </w:rPr>
              <w:t>（</w:t>
            </w:r>
            <w:r>
              <w:rPr>
                <w:rFonts w:hint="eastAsia" w:ascii="宋体" w:hAnsi="宋体" w:cs="宋体"/>
                <w:b/>
                <w:bCs/>
                <w:color w:val="000000"/>
                <w:kern w:val="0"/>
                <w:sz w:val="21"/>
                <w:szCs w:val="21"/>
                <w:highlight w:val="none"/>
                <w:lang w:val="en-US" w:eastAsia="zh-CN"/>
              </w:rPr>
              <w:t>30分</w:t>
            </w:r>
            <w:r>
              <w:rPr>
                <w:rFonts w:hint="eastAsia" w:ascii="宋体" w:hAnsi="宋体" w:cs="宋体"/>
                <w:b/>
                <w:bCs/>
                <w:color w:val="000000"/>
                <w:kern w:val="0"/>
                <w:sz w:val="21"/>
                <w:szCs w:val="21"/>
                <w:highlight w:val="none"/>
                <w:lang w:eastAsia="zh-CN"/>
              </w:rPr>
              <w:t>）</w:t>
            </w:r>
          </w:p>
        </w:tc>
        <w:tc>
          <w:tcPr>
            <w:tcW w:w="2599" w:type="dxa"/>
            <w:vAlign w:val="center"/>
          </w:tcPr>
          <w:p w14:paraId="55120FC7">
            <w:pPr>
              <w:widowControl/>
              <w:rPr>
                <w:rFonts w:hint="eastAsia" w:ascii="宋体" w:hAnsi="宋体" w:cs="宋体"/>
                <w:b/>
                <w:bCs/>
                <w:color w:val="000000"/>
                <w:kern w:val="0"/>
                <w:sz w:val="21"/>
                <w:szCs w:val="21"/>
                <w:highlight w:val="none"/>
                <w:lang w:val="en-US" w:eastAsia="zh-CN"/>
              </w:rPr>
            </w:pPr>
            <w:r>
              <w:rPr>
                <w:rFonts w:hint="eastAsia" w:ascii="宋体" w:hAnsi="宋体" w:cs="宋体"/>
                <w:b/>
                <w:bCs/>
                <w:color w:val="000000"/>
                <w:kern w:val="0"/>
                <w:sz w:val="21"/>
                <w:szCs w:val="21"/>
                <w:highlight w:val="none"/>
                <w:lang w:val="en-US" w:eastAsia="zh-CN"/>
              </w:rPr>
              <w:t>投标报价得分30分</w:t>
            </w:r>
          </w:p>
        </w:tc>
        <w:tc>
          <w:tcPr>
            <w:tcW w:w="6181" w:type="dxa"/>
            <w:vAlign w:val="center"/>
          </w:tcPr>
          <w:p w14:paraId="364364FF">
            <w:pPr>
              <w:widowControl/>
              <w:rPr>
                <w:rFonts w:hint="eastAsia" w:ascii="宋体" w:hAnsi="宋体" w:eastAsia="宋体" w:cs="宋体"/>
                <w:color w:val="000000"/>
                <w:kern w:val="0"/>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SA"/>
              </w:rPr>
              <w:t>价格项评审因素得分＝（评标基准价/投标报价）</w:t>
            </w:r>
            <w:r>
              <w:rPr>
                <w:rFonts w:hint="default" w:ascii="宋体" w:hAnsi="宋体" w:eastAsia="宋体" w:cs="宋体"/>
                <w:color w:val="000000"/>
                <w:kern w:val="0"/>
                <w:sz w:val="21"/>
                <w:szCs w:val="21"/>
                <w:highlight w:val="none"/>
                <w:lang w:val="en-US" w:eastAsia="zh-CN" w:bidi="ar-SA"/>
              </w:rPr>
              <w:t>×100×</w:t>
            </w:r>
            <w:r>
              <w:rPr>
                <w:rFonts w:hint="eastAsia" w:ascii="宋体" w:hAnsi="宋体" w:eastAsia="宋体" w:cs="宋体"/>
                <w:color w:val="000000"/>
                <w:kern w:val="0"/>
                <w:sz w:val="21"/>
                <w:szCs w:val="21"/>
                <w:highlight w:val="none"/>
                <w:lang w:val="en-US" w:eastAsia="zh-CN" w:bidi="ar-SA"/>
              </w:rPr>
              <w:t>价格项评审因素所占的权重（30%） （注：满足比选文件要求且投标价格最低的投标报价为评标基准价。）</w:t>
            </w:r>
          </w:p>
        </w:tc>
      </w:tr>
    </w:tbl>
    <w:p w14:paraId="64B7FD06"/>
    <w:p w14:paraId="4E50FA49">
      <w:pPr>
        <w:widowControl/>
        <w:numPr>
          <w:ilvl w:val="0"/>
          <w:numId w:val="1"/>
        </w:numPr>
        <w:spacing w:line="360" w:lineRule="auto"/>
        <w:jc w:val="left"/>
        <w:rPr>
          <w:rFonts w:hint="eastAsia" w:ascii="宋体" w:hAnsi="宋体"/>
          <w:b/>
          <w:sz w:val="24"/>
          <w:lang w:eastAsia="zh-CN"/>
        </w:rPr>
      </w:pPr>
      <w:r>
        <w:rPr>
          <w:rFonts w:hint="eastAsia" w:ascii="宋体" w:hAnsi="宋体"/>
          <w:b/>
          <w:sz w:val="24"/>
          <w:lang w:eastAsia="zh-CN"/>
        </w:rPr>
        <w:t>详细评审后根据得分由高到低的顺序进行排序</w:t>
      </w:r>
    </w:p>
    <w:p w14:paraId="2FCF0A27">
      <w:pPr>
        <w:widowControl/>
        <w:numPr>
          <w:ilvl w:val="0"/>
          <w:numId w:val="1"/>
        </w:numPr>
        <w:spacing w:line="360" w:lineRule="auto"/>
        <w:jc w:val="left"/>
        <w:rPr>
          <w:rFonts w:hint="eastAsia"/>
          <w:b/>
          <w:bCs/>
          <w:sz w:val="24"/>
          <w:lang w:eastAsia="zh-CN"/>
        </w:rPr>
      </w:pPr>
      <w:r>
        <w:rPr>
          <w:rFonts w:hint="eastAsia" w:ascii="宋体" w:hAnsi="宋体"/>
          <w:b/>
          <w:sz w:val="24"/>
          <w:lang w:eastAsia="zh-CN"/>
        </w:rPr>
        <w:t>根据排序，得分最高的比选投标人作为本项目比选中标人并与比选招标人签订合同。</w:t>
      </w:r>
    </w:p>
    <w:sectPr>
      <w:headerReference r:id="rId3" w:type="default"/>
      <w:footerReference r:id="rId4" w:type="default"/>
      <w:pgSz w:w="11906" w:h="16838"/>
      <w:pgMar w:top="1418" w:right="1361" w:bottom="1418" w:left="1474" w:header="851" w:footer="85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51EB4">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95665B">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82FDD">
    <w:pPr>
      <w:pStyle w:val="8"/>
      <w:pBdr>
        <w:bottom w:val="none" w:color="auto" w:sz="0" w:space="1"/>
      </w:pBdr>
      <w:jc w:val="both"/>
      <w:rPr>
        <w:rFonts w:hint="eastAsia"/>
        <w:sz w:val="24"/>
        <w:szCs w:val="24"/>
      </w:rPr>
    </w:pPr>
    <w:r>
      <w:rPr>
        <w:rFonts w:hint="eastAsia"/>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910FDD"/>
    <w:multiLevelType w:val="singleLevel"/>
    <w:tmpl w:val="59910FDD"/>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ZDhkMWNmYjZhNTdlNjU0OWNkM2M4NTM3NmYwN2EifQ=="/>
  </w:docVars>
  <w:rsids>
    <w:rsidRoot w:val="003D5663"/>
    <w:rsid w:val="00013720"/>
    <w:rsid w:val="0001720E"/>
    <w:rsid w:val="00051552"/>
    <w:rsid w:val="0005459D"/>
    <w:rsid w:val="00056763"/>
    <w:rsid w:val="00080410"/>
    <w:rsid w:val="000A0869"/>
    <w:rsid w:val="000D2187"/>
    <w:rsid w:val="000E47A8"/>
    <w:rsid w:val="000F4057"/>
    <w:rsid w:val="00102931"/>
    <w:rsid w:val="00106C30"/>
    <w:rsid w:val="00132EF7"/>
    <w:rsid w:val="00201DEA"/>
    <w:rsid w:val="002027A8"/>
    <w:rsid w:val="002275A2"/>
    <w:rsid w:val="00241DE9"/>
    <w:rsid w:val="00252520"/>
    <w:rsid w:val="00253F75"/>
    <w:rsid w:val="002A4FF9"/>
    <w:rsid w:val="002B378F"/>
    <w:rsid w:val="002B697E"/>
    <w:rsid w:val="002C06FC"/>
    <w:rsid w:val="002D1561"/>
    <w:rsid w:val="002E610B"/>
    <w:rsid w:val="003029CA"/>
    <w:rsid w:val="00332A03"/>
    <w:rsid w:val="0033314C"/>
    <w:rsid w:val="003474A7"/>
    <w:rsid w:val="003B509B"/>
    <w:rsid w:val="003C3826"/>
    <w:rsid w:val="003C5FF8"/>
    <w:rsid w:val="003C6F2D"/>
    <w:rsid w:val="003D5663"/>
    <w:rsid w:val="00402EA5"/>
    <w:rsid w:val="00404640"/>
    <w:rsid w:val="00406126"/>
    <w:rsid w:val="00425106"/>
    <w:rsid w:val="00426DC1"/>
    <w:rsid w:val="004548D2"/>
    <w:rsid w:val="004656C8"/>
    <w:rsid w:val="004C6473"/>
    <w:rsid w:val="004E1C36"/>
    <w:rsid w:val="004E29FE"/>
    <w:rsid w:val="004E2F85"/>
    <w:rsid w:val="004E38AA"/>
    <w:rsid w:val="005218C7"/>
    <w:rsid w:val="00531233"/>
    <w:rsid w:val="005428DC"/>
    <w:rsid w:val="005907D1"/>
    <w:rsid w:val="005C6E40"/>
    <w:rsid w:val="005D3129"/>
    <w:rsid w:val="005E30F6"/>
    <w:rsid w:val="005F0534"/>
    <w:rsid w:val="0068676A"/>
    <w:rsid w:val="006C4868"/>
    <w:rsid w:val="006D3163"/>
    <w:rsid w:val="00722B5D"/>
    <w:rsid w:val="007366B0"/>
    <w:rsid w:val="00744572"/>
    <w:rsid w:val="007474B4"/>
    <w:rsid w:val="007663EB"/>
    <w:rsid w:val="007A562A"/>
    <w:rsid w:val="007A730B"/>
    <w:rsid w:val="007B39B7"/>
    <w:rsid w:val="00813071"/>
    <w:rsid w:val="00832C3A"/>
    <w:rsid w:val="00867613"/>
    <w:rsid w:val="008C38BF"/>
    <w:rsid w:val="008C6C96"/>
    <w:rsid w:val="008F67C0"/>
    <w:rsid w:val="00944EE4"/>
    <w:rsid w:val="00956903"/>
    <w:rsid w:val="009736A7"/>
    <w:rsid w:val="00996579"/>
    <w:rsid w:val="009F2CEB"/>
    <w:rsid w:val="00A053D0"/>
    <w:rsid w:val="00A30AE7"/>
    <w:rsid w:val="00A30D33"/>
    <w:rsid w:val="00A80792"/>
    <w:rsid w:val="00B22BA3"/>
    <w:rsid w:val="00B727D2"/>
    <w:rsid w:val="00C10C61"/>
    <w:rsid w:val="00C1354E"/>
    <w:rsid w:val="00C416CF"/>
    <w:rsid w:val="00C55B45"/>
    <w:rsid w:val="00CC49D3"/>
    <w:rsid w:val="00CF6C98"/>
    <w:rsid w:val="00D10136"/>
    <w:rsid w:val="00D527DD"/>
    <w:rsid w:val="00D77468"/>
    <w:rsid w:val="00DA549E"/>
    <w:rsid w:val="00DF0A77"/>
    <w:rsid w:val="00DF69AF"/>
    <w:rsid w:val="00DF7697"/>
    <w:rsid w:val="00EF494A"/>
    <w:rsid w:val="00F21609"/>
    <w:rsid w:val="00FA1A44"/>
    <w:rsid w:val="00FC56DB"/>
    <w:rsid w:val="011F56B1"/>
    <w:rsid w:val="012810B4"/>
    <w:rsid w:val="01560EE5"/>
    <w:rsid w:val="0167398B"/>
    <w:rsid w:val="024C4475"/>
    <w:rsid w:val="02F736D5"/>
    <w:rsid w:val="03301278"/>
    <w:rsid w:val="03EC5633"/>
    <w:rsid w:val="04CA7814"/>
    <w:rsid w:val="04E47A17"/>
    <w:rsid w:val="05A9018D"/>
    <w:rsid w:val="05D43B35"/>
    <w:rsid w:val="06AF1515"/>
    <w:rsid w:val="07472E25"/>
    <w:rsid w:val="07DF4970"/>
    <w:rsid w:val="07EA73C5"/>
    <w:rsid w:val="086752B3"/>
    <w:rsid w:val="0872235B"/>
    <w:rsid w:val="08D4742C"/>
    <w:rsid w:val="09245E8F"/>
    <w:rsid w:val="0A2B151B"/>
    <w:rsid w:val="0B0D430E"/>
    <w:rsid w:val="0B657E3F"/>
    <w:rsid w:val="0B7F16DF"/>
    <w:rsid w:val="0BBC0FA3"/>
    <w:rsid w:val="0C626212"/>
    <w:rsid w:val="0C697B8D"/>
    <w:rsid w:val="0D780A9E"/>
    <w:rsid w:val="0D9910B0"/>
    <w:rsid w:val="0E042561"/>
    <w:rsid w:val="0EAA5270"/>
    <w:rsid w:val="0EE73C05"/>
    <w:rsid w:val="0FE01D5B"/>
    <w:rsid w:val="10032DAD"/>
    <w:rsid w:val="10E07932"/>
    <w:rsid w:val="110A3474"/>
    <w:rsid w:val="11142614"/>
    <w:rsid w:val="11341EA7"/>
    <w:rsid w:val="114612EE"/>
    <w:rsid w:val="11E0036E"/>
    <w:rsid w:val="11E7459E"/>
    <w:rsid w:val="124E6C0B"/>
    <w:rsid w:val="12FF02C4"/>
    <w:rsid w:val="132B04D6"/>
    <w:rsid w:val="144B713C"/>
    <w:rsid w:val="144D1BB8"/>
    <w:rsid w:val="144D579D"/>
    <w:rsid w:val="145F1965"/>
    <w:rsid w:val="14E15A4F"/>
    <w:rsid w:val="14EB0D8E"/>
    <w:rsid w:val="151F6992"/>
    <w:rsid w:val="153825F0"/>
    <w:rsid w:val="155D253C"/>
    <w:rsid w:val="15A9066B"/>
    <w:rsid w:val="15BD6592"/>
    <w:rsid w:val="161B669A"/>
    <w:rsid w:val="169C77DB"/>
    <w:rsid w:val="16C8503C"/>
    <w:rsid w:val="16F24C74"/>
    <w:rsid w:val="16F86A93"/>
    <w:rsid w:val="176754FB"/>
    <w:rsid w:val="19105622"/>
    <w:rsid w:val="19917927"/>
    <w:rsid w:val="19E04DC9"/>
    <w:rsid w:val="19E716B5"/>
    <w:rsid w:val="1A0C111B"/>
    <w:rsid w:val="1A3874FC"/>
    <w:rsid w:val="1B20131D"/>
    <w:rsid w:val="1B2F38E1"/>
    <w:rsid w:val="1B4057E3"/>
    <w:rsid w:val="1BF725E3"/>
    <w:rsid w:val="1C2473A2"/>
    <w:rsid w:val="1D240BBE"/>
    <w:rsid w:val="1D351539"/>
    <w:rsid w:val="1D845CE9"/>
    <w:rsid w:val="1DCB0EC0"/>
    <w:rsid w:val="1DF06BC4"/>
    <w:rsid w:val="1E167054"/>
    <w:rsid w:val="1E4E6C15"/>
    <w:rsid w:val="1E5919C3"/>
    <w:rsid w:val="1E94061B"/>
    <w:rsid w:val="1EB569EA"/>
    <w:rsid w:val="1F5A661E"/>
    <w:rsid w:val="1FE93EF2"/>
    <w:rsid w:val="20B94664"/>
    <w:rsid w:val="20BD4F1E"/>
    <w:rsid w:val="20E06AFB"/>
    <w:rsid w:val="21B573DF"/>
    <w:rsid w:val="2229015B"/>
    <w:rsid w:val="22567BFC"/>
    <w:rsid w:val="22934484"/>
    <w:rsid w:val="22955210"/>
    <w:rsid w:val="234971CB"/>
    <w:rsid w:val="23F16B0C"/>
    <w:rsid w:val="25585215"/>
    <w:rsid w:val="260F2F4A"/>
    <w:rsid w:val="26312FF5"/>
    <w:rsid w:val="27670C43"/>
    <w:rsid w:val="27F76F67"/>
    <w:rsid w:val="281C74E0"/>
    <w:rsid w:val="28227487"/>
    <w:rsid w:val="293D5C68"/>
    <w:rsid w:val="2A3E6B37"/>
    <w:rsid w:val="2A515C6C"/>
    <w:rsid w:val="2A7C19A5"/>
    <w:rsid w:val="2B3F1219"/>
    <w:rsid w:val="2B4B77A9"/>
    <w:rsid w:val="2BD72012"/>
    <w:rsid w:val="2BEF3496"/>
    <w:rsid w:val="2C7F33F4"/>
    <w:rsid w:val="2CBE15DF"/>
    <w:rsid w:val="2E1E1E9D"/>
    <w:rsid w:val="2E5C5D76"/>
    <w:rsid w:val="2E67296D"/>
    <w:rsid w:val="2E813A2E"/>
    <w:rsid w:val="2ED01A67"/>
    <w:rsid w:val="2EDC4D96"/>
    <w:rsid w:val="2FCC0CD9"/>
    <w:rsid w:val="309051B6"/>
    <w:rsid w:val="30BB178B"/>
    <w:rsid w:val="3169177A"/>
    <w:rsid w:val="31846257"/>
    <w:rsid w:val="319A651A"/>
    <w:rsid w:val="31C705FE"/>
    <w:rsid w:val="31E542D4"/>
    <w:rsid w:val="324B7372"/>
    <w:rsid w:val="324F1FD6"/>
    <w:rsid w:val="341D6C13"/>
    <w:rsid w:val="3483778D"/>
    <w:rsid w:val="3485544C"/>
    <w:rsid w:val="349B4F01"/>
    <w:rsid w:val="34B76D87"/>
    <w:rsid w:val="34CA10CC"/>
    <w:rsid w:val="358932A9"/>
    <w:rsid w:val="35C91A6F"/>
    <w:rsid w:val="364423AB"/>
    <w:rsid w:val="368E25AF"/>
    <w:rsid w:val="374241B1"/>
    <w:rsid w:val="37A17DFB"/>
    <w:rsid w:val="37B246C5"/>
    <w:rsid w:val="38246846"/>
    <w:rsid w:val="38BA7DE8"/>
    <w:rsid w:val="38C871CC"/>
    <w:rsid w:val="396B18F3"/>
    <w:rsid w:val="39C16CA5"/>
    <w:rsid w:val="3A4024B3"/>
    <w:rsid w:val="3A62773C"/>
    <w:rsid w:val="3AB24F6F"/>
    <w:rsid w:val="3AB94550"/>
    <w:rsid w:val="3AED6192"/>
    <w:rsid w:val="3BA61806"/>
    <w:rsid w:val="3BC525E8"/>
    <w:rsid w:val="3C0C7C67"/>
    <w:rsid w:val="3CE14E72"/>
    <w:rsid w:val="3DEC6C1A"/>
    <w:rsid w:val="3E304B6F"/>
    <w:rsid w:val="3E5645AE"/>
    <w:rsid w:val="3E9725A9"/>
    <w:rsid w:val="3F1B617E"/>
    <w:rsid w:val="3F6B49E7"/>
    <w:rsid w:val="3FCC6AD3"/>
    <w:rsid w:val="407713CF"/>
    <w:rsid w:val="411C0F21"/>
    <w:rsid w:val="417413BF"/>
    <w:rsid w:val="41A04F09"/>
    <w:rsid w:val="41B12925"/>
    <w:rsid w:val="41D25675"/>
    <w:rsid w:val="420B72FB"/>
    <w:rsid w:val="422E4A30"/>
    <w:rsid w:val="427E3424"/>
    <w:rsid w:val="42CB6BCE"/>
    <w:rsid w:val="43282273"/>
    <w:rsid w:val="44585060"/>
    <w:rsid w:val="462B5AED"/>
    <w:rsid w:val="4641218F"/>
    <w:rsid w:val="46824B6B"/>
    <w:rsid w:val="46A05DFB"/>
    <w:rsid w:val="47A35F49"/>
    <w:rsid w:val="486C41D0"/>
    <w:rsid w:val="48DD3AFF"/>
    <w:rsid w:val="4A433654"/>
    <w:rsid w:val="4B1B6F3D"/>
    <w:rsid w:val="4B3F0159"/>
    <w:rsid w:val="4BB519A4"/>
    <w:rsid w:val="4CA22CD2"/>
    <w:rsid w:val="4CB844C2"/>
    <w:rsid w:val="4CD22D8F"/>
    <w:rsid w:val="4CDB7D50"/>
    <w:rsid w:val="4CE865CF"/>
    <w:rsid w:val="4D012BB8"/>
    <w:rsid w:val="4D0C49B3"/>
    <w:rsid w:val="4DF87E62"/>
    <w:rsid w:val="4ED15FDA"/>
    <w:rsid w:val="4F693909"/>
    <w:rsid w:val="4FA05F31"/>
    <w:rsid w:val="4FE22BBF"/>
    <w:rsid w:val="50467CA1"/>
    <w:rsid w:val="504F2826"/>
    <w:rsid w:val="505E03D0"/>
    <w:rsid w:val="506D51E4"/>
    <w:rsid w:val="50842675"/>
    <w:rsid w:val="50E62CF2"/>
    <w:rsid w:val="50F61DA8"/>
    <w:rsid w:val="513673A4"/>
    <w:rsid w:val="52162A82"/>
    <w:rsid w:val="52F17474"/>
    <w:rsid w:val="539775BC"/>
    <w:rsid w:val="539C2AF7"/>
    <w:rsid w:val="542B1C64"/>
    <w:rsid w:val="545D4B80"/>
    <w:rsid w:val="54733718"/>
    <w:rsid w:val="54C539E4"/>
    <w:rsid w:val="552767BC"/>
    <w:rsid w:val="554D5E9C"/>
    <w:rsid w:val="55F77691"/>
    <w:rsid w:val="57880077"/>
    <w:rsid w:val="57D30508"/>
    <w:rsid w:val="58F44C79"/>
    <w:rsid w:val="59223EB6"/>
    <w:rsid w:val="59450CF0"/>
    <w:rsid w:val="59CC2262"/>
    <w:rsid w:val="5A20770E"/>
    <w:rsid w:val="5ABC1BBF"/>
    <w:rsid w:val="5ACD5E2C"/>
    <w:rsid w:val="5ADB5852"/>
    <w:rsid w:val="5B9D46F0"/>
    <w:rsid w:val="5BBA1DA4"/>
    <w:rsid w:val="5D5548F7"/>
    <w:rsid w:val="5D992979"/>
    <w:rsid w:val="5E3621C1"/>
    <w:rsid w:val="5E782277"/>
    <w:rsid w:val="5E917E2C"/>
    <w:rsid w:val="5ED03A93"/>
    <w:rsid w:val="5F5A15AE"/>
    <w:rsid w:val="5FE75693"/>
    <w:rsid w:val="602E725E"/>
    <w:rsid w:val="603D1753"/>
    <w:rsid w:val="60FF065F"/>
    <w:rsid w:val="62232491"/>
    <w:rsid w:val="636D59F7"/>
    <w:rsid w:val="63E1229E"/>
    <w:rsid w:val="64C56F22"/>
    <w:rsid w:val="65652A5B"/>
    <w:rsid w:val="67460BBF"/>
    <w:rsid w:val="67811C48"/>
    <w:rsid w:val="67A9539F"/>
    <w:rsid w:val="689F385E"/>
    <w:rsid w:val="68AC26C1"/>
    <w:rsid w:val="69DC785F"/>
    <w:rsid w:val="69FF4F50"/>
    <w:rsid w:val="6A1009F8"/>
    <w:rsid w:val="6A5808A5"/>
    <w:rsid w:val="6AE34B4E"/>
    <w:rsid w:val="6B1B6095"/>
    <w:rsid w:val="6BCF0C2E"/>
    <w:rsid w:val="6C6C7D24"/>
    <w:rsid w:val="6C8E0AE9"/>
    <w:rsid w:val="6CAA2CB7"/>
    <w:rsid w:val="6D042B59"/>
    <w:rsid w:val="6EF40649"/>
    <w:rsid w:val="6F317710"/>
    <w:rsid w:val="70444770"/>
    <w:rsid w:val="70910BA8"/>
    <w:rsid w:val="710042F6"/>
    <w:rsid w:val="714B5350"/>
    <w:rsid w:val="71C04BA8"/>
    <w:rsid w:val="724C19C2"/>
    <w:rsid w:val="72A96818"/>
    <w:rsid w:val="73AE11EE"/>
    <w:rsid w:val="73CB395E"/>
    <w:rsid w:val="74370701"/>
    <w:rsid w:val="748C7224"/>
    <w:rsid w:val="748F7EBB"/>
    <w:rsid w:val="7501578F"/>
    <w:rsid w:val="77705C1A"/>
    <w:rsid w:val="77783405"/>
    <w:rsid w:val="77B738D2"/>
    <w:rsid w:val="77DC6411"/>
    <w:rsid w:val="78216CB5"/>
    <w:rsid w:val="7846008F"/>
    <w:rsid w:val="79BC6C95"/>
    <w:rsid w:val="7A7C32C7"/>
    <w:rsid w:val="7A9167A5"/>
    <w:rsid w:val="7A9937C8"/>
    <w:rsid w:val="7ADC79A2"/>
    <w:rsid w:val="7B146C82"/>
    <w:rsid w:val="7B507329"/>
    <w:rsid w:val="7C074040"/>
    <w:rsid w:val="7CC27F6F"/>
    <w:rsid w:val="7CF92428"/>
    <w:rsid w:val="7D20302D"/>
    <w:rsid w:val="7DE20C36"/>
    <w:rsid w:val="7DEA207C"/>
    <w:rsid w:val="7ED34E22"/>
    <w:rsid w:val="7EFC053E"/>
    <w:rsid w:val="7F4E05AB"/>
    <w:rsid w:val="7F912972"/>
    <w:rsid w:val="7FAE27EC"/>
    <w:rsid w:val="7FB60A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5"/>
    <w:autoRedefine/>
    <w:qFormat/>
    <w:uiPriority w:val="0"/>
    <w:pPr>
      <w:keepNext/>
      <w:keepLines/>
      <w:spacing w:line="360" w:lineRule="auto"/>
      <w:outlineLvl w:val="0"/>
    </w:pPr>
    <w:rPr>
      <w:b/>
      <w:bCs/>
      <w:kern w:val="44"/>
      <w:sz w:val="32"/>
      <w:szCs w:val="44"/>
    </w:rPr>
  </w:style>
  <w:style w:type="paragraph" w:styleId="4">
    <w:name w:val="heading 2"/>
    <w:basedOn w:val="1"/>
    <w:next w:val="1"/>
    <w:autoRedefine/>
    <w:unhideWhenUsed/>
    <w:qFormat/>
    <w:uiPriority w:val="0"/>
    <w:pPr>
      <w:keepNext/>
      <w:keepLines/>
      <w:spacing w:before="260" w:beforeLines="0" w:after="260" w:afterLines="0" w:line="413" w:lineRule="auto"/>
      <w:outlineLvl w:val="1"/>
    </w:pPr>
    <w:rPr>
      <w:rFonts w:ascii="Arial" w:hAnsi="Arial" w:eastAsia="黑体"/>
      <w:b/>
      <w:bCs/>
      <w:kern w:val="0"/>
      <w:sz w:val="32"/>
      <w:szCs w:val="32"/>
    </w:rPr>
  </w:style>
  <w:style w:type="paragraph" w:styleId="2">
    <w:name w:val="heading 3"/>
    <w:basedOn w:val="1"/>
    <w:next w:val="1"/>
    <w:qFormat/>
    <w:uiPriority w:val="9"/>
    <w:pPr>
      <w:keepNext/>
      <w:keepLines/>
      <w:spacing w:before="260" w:after="260" w:line="413" w:lineRule="auto"/>
      <w:outlineLvl w:val="2"/>
    </w:pPr>
    <w:rPr>
      <w:b/>
      <w:bCs/>
      <w:kern w:val="0"/>
      <w:sz w:val="32"/>
      <w:szCs w:val="32"/>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5">
    <w:name w:val="Body Text"/>
    <w:basedOn w:val="1"/>
    <w:next w:val="1"/>
    <w:qFormat/>
    <w:uiPriority w:val="0"/>
    <w:pPr>
      <w:spacing w:after="120"/>
    </w:pPr>
  </w:style>
  <w:style w:type="paragraph" w:styleId="6">
    <w:name w:val="Balloon Text"/>
    <w:basedOn w:val="1"/>
    <w:link w:val="22"/>
    <w:qFormat/>
    <w:uiPriority w:val="0"/>
    <w:rPr>
      <w:sz w:val="18"/>
      <w:szCs w:val="18"/>
    </w:rPr>
  </w:style>
  <w:style w:type="paragraph" w:styleId="7">
    <w:name w:val="footer"/>
    <w:basedOn w:val="1"/>
    <w:link w:val="20"/>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3"/>
    <w:autoRedefine/>
    <w:qFormat/>
    <w:uiPriority w:val="0"/>
    <w:pPr>
      <w:spacing w:before="240" w:after="60" w:line="312" w:lineRule="auto"/>
      <w:jc w:val="center"/>
      <w:outlineLvl w:val="1"/>
    </w:pPr>
    <w:rPr>
      <w:rFonts w:asciiTheme="majorHAnsi" w:hAnsiTheme="majorHAnsi" w:cstheme="majorBidi"/>
      <w:b/>
      <w:bCs/>
      <w:kern w:val="28"/>
      <w:sz w:val="32"/>
      <w:szCs w:val="32"/>
    </w:rPr>
  </w:style>
  <w:style w:type="paragraph" w:styleId="10">
    <w:name w:val="Body Text First Indent"/>
    <w:basedOn w:val="1"/>
    <w:qFormat/>
    <w:uiPriority w:val="0"/>
    <w:pPr>
      <w:ind w:firstLine="420" w:firstLineChars="10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autoRedefine/>
    <w:qFormat/>
    <w:uiPriority w:val="0"/>
  </w:style>
  <w:style w:type="character" w:customStyle="1" w:styleId="15">
    <w:name w:val="标题 1 Char"/>
    <w:basedOn w:val="13"/>
    <w:link w:val="3"/>
    <w:autoRedefine/>
    <w:qFormat/>
    <w:uiPriority w:val="0"/>
    <w:rPr>
      <w:b/>
      <w:bCs/>
      <w:kern w:val="44"/>
      <w:sz w:val="32"/>
      <w:szCs w:val="44"/>
    </w:rPr>
  </w:style>
  <w:style w:type="character" w:customStyle="1" w:styleId="16">
    <w:name w:val="列出段落 Char"/>
    <w:link w:val="17"/>
    <w:autoRedefine/>
    <w:qFormat/>
    <w:uiPriority w:val="0"/>
    <w:rPr>
      <w:kern w:val="2"/>
      <w:sz w:val="21"/>
    </w:rPr>
  </w:style>
  <w:style w:type="paragraph" w:customStyle="1" w:styleId="17">
    <w:name w:val="List Paragraph"/>
    <w:basedOn w:val="1"/>
    <w:link w:val="16"/>
    <w:autoRedefine/>
    <w:qFormat/>
    <w:uiPriority w:val="0"/>
    <w:pPr>
      <w:ind w:firstLine="420" w:firstLineChars="200"/>
    </w:pPr>
    <w:rPr>
      <w:szCs w:val="20"/>
    </w:rPr>
  </w:style>
  <w:style w:type="character" w:customStyle="1" w:styleId="18">
    <w:name w:val="页眉 Char"/>
    <w:link w:val="8"/>
    <w:autoRedefine/>
    <w:qFormat/>
    <w:uiPriority w:val="99"/>
    <w:rPr>
      <w:kern w:val="2"/>
      <w:sz w:val="18"/>
      <w:szCs w:val="18"/>
    </w:rPr>
  </w:style>
  <w:style w:type="character" w:customStyle="1" w:styleId="19">
    <w:name w:val="页眉 Char1"/>
    <w:basedOn w:val="13"/>
    <w:autoRedefine/>
    <w:qFormat/>
    <w:uiPriority w:val="0"/>
    <w:rPr>
      <w:kern w:val="2"/>
      <w:sz w:val="18"/>
      <w:szCs w:val="18"/>
    </w:rPr>
  </w:style>
  <w:style w:type="character" w:customStyle="1" w:styleId="20">
    <w:name w:val="页脚 Char"/>
    <w:basedOn w:val="13"/>
    <w:link w:val="7"/>
    <w:autoRedefine/>
    <w:qFormat/>
    <w:uiPriority w:val="99"/>
    <w:rPr>
      <w:kern w:val="2"/>
      <w:sz w:val="18"/>
      <w:szCs w:val="18"/>
    </w:rPr>
  </w:style>
  <w:style w:type="paragraph" w:customStyle="1" w:styleId="21">
    <w:name w:val="Normal_33"/>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2">
    <w:name w:val="批注框文本 Char"/>
    <w:basedOn w:val="13"/>
    <w:link w:val="6"/>
    <w:autoRedefine/>
    <w:qFormat/>
    <w:uiPriority w:val="0"/>
    <w:rPr>
      <w:kern w:val="2"/>
      <w:sz w:val="18"/>
      <w:szCs w:val="18"/>
    </w:rPr>
  </w:style>
  <w:style w:type="character" w:customStyle="1" w:styleId="23">
    <w:name w:val="副标题 Char"/>
    <w:basedOn w:val="13"/>
    <w:link w:val="9"/>
    <w:autoRedefine/>
    <w:qFormat/>
    <w:uiPriority w:val="0"/>
    <w:rPr>
      <w:rFonts w:asciiTheme="majorHAnsi" w:hAnsiTheme="majorHAnsi" w:cstheme="majorBidi"/>
      <w:b/>
      <w:bCs/>
      <w:kern w:val="28"/>
      <w:sz w:val="32"/>
      <w:szCs w:val="32"/>
    </w:rPr>
  </w:style>
  <w:style w:type="paragraph" w:customStyle="1" w:styleId="24">
    <w:name w:val="Normal_3"/>
    <w:autoRedefine/>
    <w:qFormat/>
    <w:uiPriority w:val="0"/>
    <w:rPr>
      <w:rFonts w:ascii="Times New Roman" w:hAnsi="Times New Roman" w:eastAsia="宋体" w:cs="Times New Roman"/>
      <w:sz w:val="24"/>
      <w:szCs w:val="24"/>
      <w:lang w:val="en-US" w:eastAsia="zh-CN" w:bidi="ar-SA"/>
    </w:rPr>
  </w:style>
  <w:style w:type="paragraph" w:customStyle="1" w:styleId="25">
    <w:name w:val="正文_5_0"/>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6">
    <w:name w:val="正文_0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_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_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Normal_13"/>
    <w:autoRedefine/>
    <w:qFormat/>
    <w:uiPriority w:val="0"/>
    <w:rPr>
      <w:rFonts w:ascii="Times New Roman" w:hAnsi="Times New Roman" w:eastAsia="Times New Roman" w:cs="Times New Roman"/>
      <w:sz w:val="24"/>
      <w:szCs w:val="24"/>
      <w:lang w:val="en-US" w:eastAsia="zh-CN" w:bidi="ar-SA"/>
    </w:rPr>
  </w:style>
  <w:style w:type="paragraph" w:customStyle="1" w:styleId="30">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Normal_15"/>
    <w:autoRedefine/>
    <w:qFormat/>
    <w:uiPriority w:val="0"/>
    <w:rPr>
      <w:rFonts w:ascii="Times New Roman" w:hAnsi="Times New Roman" w:eastAsia="Times New Roman" w:cs="Times New Roman"/>
      <w:sz w:val="24"/>
      <w:szCs w:val="24"/>
      <w:lang w:val="en-US" w:eastAsia="zh-CN" w:bidi="ar-SA"/>
    </w:rPr>
  </w:style>
  <w:style w:type="paragraph" w:customStyle="1" w:styleId="32">
    <w:name w:val="正文_1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正文_5"/>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Normal_0"/>
    <w:autoRedefine/>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DF6AE39-ECC7-47F7-986F-365B40120099}">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Pages>
  <Words>2446</Words>
  <Characters>2629</Characters>
  <Lines>38</Lines>
  <Paragraphs>10</Paragraphs>
  <TotalTime>16</TotalTime>
  <ScaleCrop>false</ScaleCrop>
  <LinksUpToDate>false</LinksUpToDate>
  <CharactersWithSpaces>2657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2016-06-24T02:06:00Z</dcterms:created>
  <dc:creator>lt</dc:creator>
  <cp:lastModifiedBy>刘元（小号）</cp:lastModifiedBy>
  <cp:lastPrinted>2025-04-08T02:07:00Z</cp:lastPrinted>
  <dcterms:modified xsi:type="dcterms:W3CDTF">2025-07-09T06:30:13Z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0F8C5D49059945639257C1628896DD54_13</vt:lpwstr>
  </property>
  <property fmtid="{D5CDD505-2E9C-101B-9397-08002B2CF9AE}" pid="4" name="KSOTemplateDocerSaveRecord">
    <vt:lpwstr>eyJoZGlkIjoiNTEyOWUwMjAyYzg3YmNiYTJhYzgwMDkxNjMyNDI2Y2YiLCJ1c2VySWQiOiI2Nzc1Mzc5NDMifQ==</vt:lpwstr>
  </property>
</Properties>
</file>